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jc w:val="center"/>
        <w:rPr>
          <w:rFonts w:hint="eastAsia" w:ascii="仿宋" w:hAnsi="仿宋" w:eastAsia="仿宋" w:cs="仿宋"/>
          <w:bCs/>
          <w:color w:val="auto"/>
          <w:spacing w:val="20"/>
          <w:sz w:val="72"/>
          <w:szCs w:val="72"/>
          <w:highlight w:val="none"/>
        </w:rPr>
      </w:pPr>
    </w:p>
    <w:p>
      <w:pPr>
        <w:spacing w:line="360" w:lineRule="auto"/>
        <w:jc w:val="center"/>
        <w:rPr>
          <w:rFonts w:hint="eastAsia" w:ascii="仿宋" w:hAnsi="仿宋" w:eastAsia="仿宋" w:cs="仿宋"/>
          <w:b/>
          <w:color w:val="auto"/>
          <w:sz w:val="52"/>
          <w:szCs w:val="52"/>
          <w:highlight w:val="none"/>
        </w:rPr>
      </w:pPr>
    </w:p>
    <w:p>
      <w:pPr>
        <w:spacing w:line="360" w:lineRule="auto"/>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无锡市政府采购项目</w:t>
      </w:r>
    </w:p>
    <w:p>
      <w:pPr>
        <w:spacing w:line="360" w:lineRule="auto"/>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公开招标文件</w:t>
      </w:r>
    </w:p>
    <w:p>
      <w:pPr>
        <w:spacing w:line="360" w:lineRule="auto"/>
        <w:jc w:val="center"/>
        <w:rPr>
          <w:rFonts w:hint="eastAsia" w:ascii="仿宋" w:hAnsi="仿宋" w:eastAsia="仿宋" w:cs="仿宋"/>
          <w:b/>
          <w:color w:val="auto"/>
          <w:sz w:val="24"/>
          <w:highlight w:val="none"/>
        </w:rPr>
      </w:pPr>
    </w:p>
    <w:p>
      <w:pPr>
        <w:pStyle w:val="215"/>
        <w:rPr>
          <w:rFonts w:hint="eastAsia" w:ascii="仿宋" w:hAnsi="仿宋" w:eastAsia="仿宋" w:cs="仿宋"/>
          <w:color w:val="auto"/>
          <w:highlight w:val="none"/>
        </w:rPr>
      </w:pPr>
    </w:p>
    <w:p>
      <w:pPr>
        <w:spacing w:line="360" w:lineRule="auto"/>
        <w:jc w:val="center"/>
        <w:rPr>
          <w:rFonts w:hint="eastAsia" w:ascii="仿宋" w:hAnsi="仿宋" w:eastAsia="仿宋" w:cs="仿宋"/>
          <w:color w:val="auto"/>
          <w:highlight w:val="none"/>
        </w:rPr>
      </w:pPr>
      <w:r>
        <w:rPr>
          <w:rFonts w:hint="eastAsia" w:ascii="仿宋" w:hAnsi="仿宋" w:eastAsia="仿宋" w:cs="仿宋"/>
          <w:b/>
          <w:color w:val="auto"/>
          <w:sz w:val="32"/>
          <w:szCs w:val="32"/>
          <w:highlight w:val="none"/>
        </w:rPr>
        <w:t>（全流程电子化）</w:t>
      </w:r>
    </w:p>
    <w:p>
      <w:pPr>
        <w:ind w:left="3036" w:hanging="2846"/>
        <w:jc w:val="center"/>
        <w:rPr>
          <w:rFonts w:hint="eastAsia" w:ascii="仿宋" w:hAnsi="仿宋" w:eastAsia="仿宋" w:cs="仿宋"/>
          <w:b/>
          <w:color w:val="auto"/>
          <w:sz w:val="32"/>
          <w:szCs w:val="32"/>
          <w:highlight w:val="none"/>
        </w:rPr>
      </w:pPr>
      <w:r>
        <w:rPr>
          <w:rFonts w:hint="eastAsia" w:ascii="仿宋" w:hAnsi="仿宋" w:eastAsia="仿宋" w:cs="仿宋"/>
          <w:b/>
          <w:color w:val="auto"/>
          <w:sz w:val="30"/>
          <w:szCs w:val="30"/>
          <w:highlight w:val="none"/>
        </w:rPr>
        <w:t>（暗标）</w:t>
      </w:r>
    </w:p>
    <w:p>
      <w:pPr>
        <w:spacing w:line="300" w:lineRule="auto"/>
        <w:jc w:val="center"/>
        <w:rPr>
          <w:rFonts w:hint="eastAsia" w:ascii="仿宋" w:hAnsi="仿宋" w:eastAsia="仿宋" w:cs="仿宋"/>
          <w:b/>
          <w:color w:val="auto"/>
          <w:sz w:val="28"/>
          <w:szCs w:val="28"/>
          <w:highlight w:val="none"/>
        </w:rPr>
      </w:pPr>
    </w:p>
    <w:p>
      <w:pPr>
        <w:pStyle w:val="215"/>
        <w:rPr>
          <w:rFonts w:hint="eastAsia" w:ascii="仿宋" w:hAnsi="仿宋" w:eastAsia="仿宋" w:cs="仿宋"/>
          <w:color w:val="auto"/>
          <w:highlight w:val="none"/>
        </w:rPr>
      </w:pPr>
    </w:p>
    <w:p>
      <w:pPr>
        <w:spacing w:line="300" w:lineRule="auto"/>
        <w:jc w:val="center"/>
        <w:rPr>
          <w:rFonts w:hint="eastAsia" w:ascii="仿宋" w:hAnsi="仿宋" w:eastAsia="仿宋" w:cs="仿宋"/>
          <w:b/>
          <w:color w:val="auto"/>
          <w:sz w:val="28"/>
          <w:szCs w:val="28"/>
          <w:highlight w:val="none"/>
        </w:rPr>
      </w:pPr>
    </w:p>
    <w:p>
      <w:pPr>
        <w:spacing w:line="300" w:lineRule="auto"/>
        <w:rPr>
          <w:rFonts w:hint="eastAsia" w:ascii="仿宋" w:hAnsi="仿宋" w:eastAsia="仿宋" w:cs="仿宋"/>
          <w:bCs/>
          <w:color w:val="auto"/>
          <w:sz w:val="30"/>
          <w:szCs w:val="30"/>
          <w:highlight w:val="none"/>
        </w:rPr>
      </w:pPr>
    </w:p>
    <w:p>
      <w:pPr>
        <w:spacing w:line="360" w:lineRule="auto"/>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采购项目编号：</w:t>
      </w:r>
      <w:r>
        <w:rPr>
          <w:rFonts w:hint="eastAsia" w:ascii="仿宋" w:hAnsi="仿宋" w:eastAsia="仿宋" w:cs="仿宋"/>
          <w:b/>
          <w:color w:val="auto"/>
          <w:sz w:val="30"/>
          <w:szCs w:val="30"/>
          <w:highlight w:val="none"/>
          <w:lang w:eastAsia="zh-CN"/>
        </w:rPr>
        <w:t>JSZC-320200-THGC-G2026-0010</w:t>
      </w:r>
    </w:p>
    <w:p>
      <w:pPr>
        <w:spacing w:line="360" w:lineRule="auto"/>
        <w:ind w:left="2108" w:hanging="2108"/>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采购项目名称：</w:t>
      </w:r>
      <w:bookmarkStart w:id="0" w:name="_Hlk194494240"/>
      <w:r>
        <w:rPr>
          <w:rFonts w:hint="eastAsia" w:ascii="仿宋" w:hAnsi="仿宋" w:eastAsia="仿宋" w:cs="仿宋"/>
          <w:b/>
          <w:color w:val="auto"/>
          <w:sz w:val="30"/>
          <w:szCs w:val="30"/>
          <w:highlight w:val="none"/>
          <w:lang w:eastAsia="zh-CN"/>
        </w:rPr>
        <w:t>2026年城区大型转运站（南长、滨湖生活垃圾转运站）运行管理项目</w:t>
      </w:r>
      <w:bookmarkEnd w:id="0"/>
    </w:p>
    <w:p>
      <w:pPr>
        <w:spacing w:line="360" w:lineRule="auto"/>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采   购   人：</w:t>
      </w:r>
      <w:r>
        <w:rPr>
          <w:rFonts w:hint="eastAsia" w:ascii="仿宋" w:hAnsi="仿宋" w:eastAsia="仿宋" w:cs="仿宋"/>
          <w:b/>
          <w:color w:val="auto"/>
          <w:sz w:val="30"/>
          <w:szCs w:val="30"/>
          <w:highlight w:val="none"/>
          <w:lang w:eastAsia="zh-CN"/>
        </w:rPr>
        <w:t>无锡市环境卫生管理服务中心</w:t>
      </w:r>
    </w:p>
    <w:p>
      <w:pPr>
        <w:spacing w:line="360" w:lineRule="auto"/>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采购代理机构：</w:t>
      </w:r>
      <w:r>
        <w:rPr>
          <w:rFonts w:hint="eastAsia" w:ascii="仿宋" w:hAnsi="仿宋" w:eastAsia="仿宋" w:cs="仿宋"/>
          <w:b/>
          <w:color w:val="auto"/>
          <w:sz w:val="30"/>
          <w:szCs w:val="30"/>
          <w:highlight w:val="none"/>
          <w:lang w:eastAsia="zh-CN"/>
        </w:rPr>
        <w:t>江苏通汇工程管理咨询有限公司</w:t>
      </w:r>
    </w:p>
    <w:p>
      <w:pPr>
        <w:spacing w:line="360" w:lineRule="auto"/>
        <w:ind w:left="3036" w:hanging="3036"/>
        <w:rPr>
          <w:rFonts w:hint="eastAsia" w:ascii="仿宋" w:hAnsi="仿宋" w:eastAsia="仿宋" w:cs="仿宋"/>
          <w:b/>
          <w:color w:val="auto"/>
          <w:sz w:val="32"/>
          <w:szCs w:val="32"/>
          <w:highlight w:val="none"/>
        </w:rPr>
      </w:pPr>
    </w:p>
    <w:p>
      <w:pPr>
        <w:spacing w:line="300" w:lineRule="auto"/>
        <w:jc w:val="center"/>
        <w:rPr>
          <w:rFonts w:hint="eastAsia" w:ascii="仿宋" w:hAnsi="仿宋" w:eastAsia="仿宋" w:cs="仿宋"/>
          <w:bCs/>
          <w:color w:val="auto"/>
          <w:sz w:val="30"/>
          <w:szCs w:val="30"/>
          <w:highlight w:val="none"/>
        </w:rPr>
      </w:pPr>
    </w:p>
    <w:p>
      <w:pPr>
        <w:spacing w:line="300" w:lineRule="auto"/>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eastAsia="zh-CN"/>
        </w:rPr>
        <w:t>二〇二六</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五</w:t>
      </w:r>
      <w:r>
        <w:rPr>
          <w:rFonts w:hint="eastAsia" w:ascii="仿宋" w:hAnsi="仿宋" w:eastAsia="仿宋" w:cs="仿宋"/>
          <w:b/>
          <w:color w:val="auto"/>
          <w:sz w:val="30"/>
          <w:szCs w:val="30"/>
          <w:highlight w:val="none"/>
        </w:rPr>
        <w:t>月</w:t>
      </w:r>
    </w:p>
    <w:p>
      <w:pPr>
        <w:pStyle w:val="487"/>
        <w:spacing w:line="300" w:lineRule="auto"/>
        <w:ind w:firstLine="3640"/>
        <w:rPr>
          <w:rFonts w:hint="eastAsia" w:ascii="仿宋" w:hAnsi="仿宋" w:eastAsia="仿宋" w:cs="仿宋"/>
          <w:bCs/>
          <w:color w:val="auto"/>
          <w:sz w:val="52"/>
          <w:szCs w:val="52"/>
          <w:highlight w:val="none"/>
        </w:rPr>
      </w:pPr>
      <w:r>
        <w:rPr>
          <w:rFonts w:hint="eastAsia" w:ascii="仿宋" w:hAnsi="仿宋" w:eastAsia="仿宋" w:cs="仿宋"/>
          <w:bCs/>
          <w:color w:val="auto"/>
          <w:sz w:val="52"/>
          <w:szCs w:val="52"/>
          <w:highlight w:val="none"/>
        </w:rPr>
        <w:br w:type="page" w:clear="all"/>
      </w:r>
    </w:p>
    <w:p>
      <w:pPr>
        <w:pStyle w:val="487"/>
        <w:spacing w:line="300" w:lineRule="auto"/>
        <w:ind w:firstLine="3640"/>
        <w:rPr>
          <w:rFonts w:hint="eastAsia" w:ascii="仿宋" w:hAnsi="仿宋" w:eastAsia="仿宋" w:cs="仿宋"/>
          <w:bCs/>
          <w:color w:val="auto"/>
          <w:sz w:val="52"/>
          <w:szCs w:val="52"/>
          <w:highlight w:val="none"/>
        </w:rPr>
      </w:pPr>
      <w:r>
        <w:rPr>
          <w:rFonts w:hint="eastAsia" w:ascii="仿宋" w:hAnsi="仿宋" w:eastAsia="仿宋" w:cs="仿宋"/>
          <w:bCs/>
          <w:color w:val="auto"/>
          <w:sz w:val="52"/>
          <w:szCs w:val="52"/>
          <w:highlight w:val="none"/>
        </w:rPr>
        <w:t>目    录</w:t>
      </w:r>
    </w:p>
    <w:p>
      <w:pPr>
        <w:tabs>
          <w:tab w:val="left" w:pos="8000"/>
        </w:tabs>
        <w:spacing w:line="100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第一部分    投标邀请</w:t>
      </w:r>
    </w:p>
    <w:p>
      <w:pPr>
        <w:spacing w:line="100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第二部分    供应商须知</w:t>
      </w:r>
    </w:p>
    <w:p>
      <w:pPr>
        <w:spacing w:line="100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第三部分    采购需求</w:t>
      </w:r>
    </w:p>
    <w:p>
      <w:pPr>
        <w:spacing w:line="100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第四部分    合同条款</w:t>
      </w:r>
    </w:p>
    <w:p>
      <w:pPr>
        <w:spacing w:line="100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第五部分    附件</w:t>
      </w:r>
    </w:p>
    <w:p>
      <w:pPr>
        <w:pStyle w:val="215"/>
        <w:rPr>
          <w:rFonts w:hint="eastAsia" w:ascii="仿宋" w:hAnsi="仿宋" w:eastAsia="仿宋" w:cs="仿宋"/>
          <w:color w:val="auto"/>
          <w:highlight w:val="none"/>
        </w:rPr>
      </w:pPr>
    </w:p>
    <w:p>
      <w:pPr>
        <w:pStyle w:val="215"/>
        <w:rPr>
          <w:rFonts w:hint="eastAsia" w:ascii="仿宋" w:hAnsi="仿宋" w:eastAsia="仿宋" w:cs="仿宋"/>
          <w:color w:val="auto"/>
          <w:highlight w:val="none"/>
        </w:rPr>
      </w:pPr>
    </w:p>
    <w:p>
      <w:pPr>
        <w:pStyle w:val="215"/>
        <w:rPr>
          <w:rFonts w:hint="eastAsia" w:ascii="仿宋" w:hAnsi="仿宋" w:eastAsia="仿宋" w:cs="仿宋"/>
          <w:color w:val="auto"/>
          <w:highlight w:val="none"/>
        </w:rPr>
      </w:pPr>
    </w:p>
    <w:p>
      <w:pPr>
        <w:pStyle w:val="215"/>
        <w:rPr>
          <w:rFonts w:hint="eastAsia" w:ascii="仿宋" w:hAnsi="仿宋" w:eastAsia="仿宋" w:cs="仿宋"/>
          <w:color w:val="auto"/>
          <w:highlight w:val="none"/>
        </w:rPr>
        <w:sectPr>
          <w:footerReference r:id="rId5" w:type="first"/>
          <w:headerReference r:id="rId3" w:type="default"/>
          <w:footerReference r:id="rId4" w:type="default"/>
          <w:pgSz w:w="11906" w:h="16838"/>
          <w:pgMar w:top="907" w:right="907" w:bottom="907" w:left="907" w:header="851" w:footer="992" w:gutter="0"/>
          <w:pgNumType w:start="1"/>
          <w:cols w:space="1701" w:num="1"/>
          <w:docGrid w:linePitch="360" w:charSpace="0"/>
        </w:sectPr>
      </w:pPr>
    </w:p>
    <w:p>
      <w:pPr>
        <w:spacing w:line="300" w:lineRule="auto"/>
        <w:jc w:val="center"/>
        <w:outlineLvl w:val="0"/>
        <w:rPr>
          <w:rFonts w:hint="eastAsia" w:ascii="仿宋" w:hAnsi="仿宋" w:eastAsia="仿宋" w:cs="仿宋"/>
          <w:b/>
          <w:bCs/>
          <w:color w:val="auto"/>
          <w:sz w:val="36"/>
          <w:szCs w:val="36"/>
          <w:highlight w:val="none"/>
        </w:rPr>
      </w:pPr>
      <w:r>
        <w:rPr>
          <w:rFonts w:hint="eastAsia" w:ascii="仿宋" w:hAnsi="仿宋" w:eastAsia="仿宋" w:cs="仿宋"/>
          <w:b/>
          <w:bCs/>
          <w:color w:val="auto"/>
          <w:sz w:val="44"/>
          <w:szCs w:val="44"/>
          <w:highlight w:val="none"/>
        </w:rPr>
        <w:t>第一部分 投标邀请</w:t>
      </w:r>
    </w:p>
    <w:p>
      <w:pPr>
        <w:spacing w:line="300" w:lineRule="auto"/>
        <w:ind w:firstLine="482"/>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lang w:eastAsia="zh-CN"/>
        </w:rPr>
        <w:t>江苏通汇工程管理咨询有限公司</w:t>
      </w:r>
      <w:r>
        <w:rPr>
          <w:rFonts w:hint="eastAsia" w:ascii="仿宋" w:hAnsi="仿宋" w:eastAsia="仿宋" w:cs="仿宋"/>
          <w:bCs/>
          <w:color w:val="auto"/>
          <w:sz w:val="24"/>
          <w:szCs w:val="24"/>
          <w:highlight w:val="none"/>
        </w:rPr>
        <w:t>受</w:t>
      </w:r>
      <w:r>
        <w:rPr>
          <w:rFonts w:hint="eastAsia" w:ascii="仿宋" w:hAnsi="仿宋" w:eastAsia="仿宋" w:cs="仿宋"/>
          <w:b/>
          <w:bCs/>
          <w:color w:val="auto"/>
          <w:sz w:val="24"/>
          <w:szCs w:val="24"/>
          <w:highlight w:val="none"/>
          <w:lang w:eastAsia="zh-CN"/>
        </w:rPr>
        <w:t>无锡市环境卫生管理服务中心</w:t>
      </w:r>
      <w:r>
        <w:rPr>
          <w:rFonts w:hint="eastAsia" w:ascii="仿宋" w:hAnsi="仿宋" w:eastAsia="仿宋" w:cs="仿宋"/>
          <w:bCs/>
          <w:color w:val="auto"/>
          <w:sz w:val="24"/>
          <w:szCs w:val="24"/>
          <w:highlight w:val="none"/>
        </w:rPr>
        <w:t>的委托，对其</w:t>
      </w:r>
      <w:r>
        <w:rPr>
          <w:rFonts w:hint="eastAsia" w:ascii="仿宋" w:hAnsi="仿宋" w:eastAsia="仿宋" w:cs="仿宋"/>
          <w:b/>
          <w:bCs/>
          <w:color w:val="auto"/>
          <w:sz w:val="24"/>
          <w:szCs w:val="24"/>
          <w:highlight w:val="none"/>
          <w:lang w:eastAsia="zh-CN"/>
        </w:rPr>
        <w:t>2026年城区大型转运站（南长、滨湖生活垃圾转运站）运行管理项目</w:t>
      </w:r>
      <w:r>
        <w:rPr>
          <w:rFonts w:hint="eastAsia" w:ascii="仿宋" w:hAnsi="仿宋" w:eastAsia="仿宋" w:cs="仿宋"/>
          <w:bCs/>
          <w:color w:val="auto"/>
          <w:sz w:val="24"/>
          <w:szCs w:val="24"/>
          <w:highlight w:val="none"/>
        </w:rPr>
        <w:t xml:space="preserve">进行公开招标。现欢迎符合相关条件的供应商参加投标，本项目注意事项详见下表： </w:t>
      </w:r>
    </w:p>
    <w:tbl>
      <w:tblPr>
        <w:tblStyle w:val="30"/>
        <w:tblW w:w="101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1"/>
        <w:gridCol w:w="94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8" w:hRule="atLeast"/>
          <w:jc w:val="center"/>
        </w:trPr>
        <w:tc>
          <w:tcPr>
            <w:tcW w:w="771" w:type="dxa"/>
            <w:noWrap w:val="0"/>
            <w:vAlign w:val="center"/>
          </w:tcPr>
          <w:p>
            <w:pPr>
              <w:spacing w:line="30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9400" w:type="dxa"/>
            <w:noWrap w:val="0"/>
            <w:vAlign w:val="center"/>
          </w:tcPr>
          <w:p>
            <w:pPr>
              <w:spacing w:line="30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内    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400" w:type="dxa"/>
            <w:noWrap w:val="0"/>
            <w:vAlign w:val="center"/>
          </w:tcPr>
          <w:p>
            <w:pPr>
              <w:widowControl/>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2026年城区大型转运站（南长、滨湖生活垃圾转运站）运行管理项目</w:t>
            </w:r>
          </w:p>
          <w:p>
            <w:pPr>
              <w:widowControl/>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采购编号：</w:t>
            </w:r>
            <w:r>
              <w:rPr>
                <w:rFonts w:hint="eastAsia" w:ascii="仿宋" w:hAnsi="仿宋" w:eastAsia="仿宋" w:cs="仿宋"/>
                <w:color w:val="auto"/>
                <w:sz w:val="24"/>
                <w:szCs w:val="24"/>
                <w:highlight w:val="none"/>
                <w:lang w:eastAsia="zh-CN"/>
              </w:rPr>
              <w:t>JSZC-320200-THGC-G2026-0010</w:t>
            </w:r>
          </w:p>
          <w:p>
            <w:pPr>
              <w:widowControl/>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采购方式：公开招标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400" w:type="dxa"/>
            <w:noWrap w:val="0"/>
            <w:vAlign w:val="center"/>
          </w:tcPr>
          <w:p>
            <w:pPr>
              <w:widowControl/>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rPr>
              <w:t>采</w:t>
            </w:r>
            <w:r>
              <w:rPr>
                <w:rFonts w:hint="eastAsia" w:ascii="仿宋" w:hAnsi="仿宋" w:eastAsia="仿宋" w:cs="仿宋"/>
                <w:color w:val="auto"/>
                <w:sz w:val="24"/>
                <w:szCs w:val="24"/>
                <w:highlight w:val="none"/>
              </w:rPr>
              <w:t>购人：</w:t>
            </w:r>
            <w:r>
              <w:rPr>
                <w:rFonts w:hint="eastAsia" w:ascii="仿宋" w:hAnsi="仿宋" w:eastAsia="仿宋" w:cs="仿宋"/>
                <w:color w:val="auto"/>
                <w:sz w:val="24"/>
                <w:szCs w:val="24"/>
                <w:highlight w:val="none"/>
                <w:lang w:eastAsia="zh-CN"/>
              </w:rPr>
              <w:t>无锡市环境卫生管理服务中心</w:t>
            </w:r>
          </w:p>
          <w:p>
            <w:pPr>
              <w:widowControl/>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采购人地址：</w:t>
            </w:r>
            <w:r>
              <w:rPr>
                <w:rFonts w:hint="eastAsia" w:ascii="仿宋" w:hAnsi="仿宋" w:eastAsia="仿宋" w:cs="仿宋"/>
                <w:color w:val="auto"/>
                <w:sz w:val="24"/>
                <w:szCs w:val="24"/>
                <w:highlight w:val="none"/>
                <w:lang w:eastAsia="zh-CN"/>
              </w:rPr>
              <w:t>无锡市塘南一支路3号</w:t>
            </w:r>
          </w:p>
          <w:p>
            <w:pPr>
              <w:widowControl/>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采购代理机构：</w:t>
            </w:r>
            <w:r>
              <w:rPr>
                <w:rFonts w:hint="eastAsia" w:ascii="仿宋" w:hAnsi="仿宋" w:eastAsia="仿宋" w:cs="仿宋"/>
                <w:color w:val="auto"/>
                <w:sz w:val="24"/>
                <w:szCs w:val="24"/>
                <w:highlight w:val="none"/>
                <w:lang w:eastAsia="zh-CN"/>
              </w:rPr>
              <w:t>江苏通汇工程管理咨询有限公司</w:t>
            </w:r>
          </w:p>
          <w:p>
            <w:pPr>
              <w:widowControl/>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rPr>
              <w:t>采购机构地址：</w:t>
            </w:r>
            <w:r>
              <w:rPr>
                <w:rFonts w:hint="eastAsia" w:ascii="仿宋" w:hAnsi="仿宋" w:eastAsia="仿宋" w:cs="仿宋"/>
                <w:color w:val="auto"/>
                <w:sz w:val="24"/>
                <w:szCs w:val="24"/>
                <w:highlight w:val="none"/>
                <w:lang w:eastAsia="zh-CN"/>
              </w:rPr>
              <w:t>无锡市锡山区万马商业广场59-102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400" w:type="dxa"/>
            <w:noWrap w:val="0"/>
            <w:vAlign w:val="center"/>
          </w:tcPr>
          <w:p>
            <w:pPr>
              <w:widowControl/>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采购项目概况、要求：</w:t>
            </w:r>
          </w:p>
          <w:p>
            <w:pPr>
              <w:numPr>
                <w:ilvl w:val="0"/>
                <w:numId w:val="24"/>
              </w:numPr>
              <w:spacing w:line="360" w:lineRule="auto"/>
              <w:ind w:firstLine="39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概况：2026年城区大型转运站（南长、滨湖生活垃圾转运站）运行管理，一标段为南长生活垃圾转运站（扬高路31号），设计转运能力为500吨/日，主要设施设备包括生活垃圾转运系统、污水处理系统、除尘除臭处理系统及其他辅助配套系统。转运站运行服务的目标是垃圾日产日清，水、气、声、渣达标排放，设施设备保养到位，确保安全、环保、稳定运行；二标段为滨湖区生活垃圾转运站位于青龙山133号，设计转运能力为500吨/日，主要设施设备包括生活垃圾转运系统、污水处理系统、除尘除臭处理系统及其他辅助配套系统。转运站运行服务的目标是垃圾日产日清，水、气、声、渣达标排放，设施设备保养到位，确保安全、环保、稳定运行。</w:t>
            </w:r>
          </w:p>
          <w:p>
            <w:pPr>
              <w:numPr>
                <w:ilvl w:val="0"/>
                <w:numId w:val="0"/>
              </w:numPr>
              <w:spacing w:line="360" w:lineRule="auto"/>
              <w:ind w:firstLine="7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供应商可同时参加本项目所有标段的投标。最多可中一个标段，评分排名均第一的情况下由投标单位在投标文件中承诺优先中何标段。如某标段排名第一的供应商已经中了其他标段，则该标段由排名第二的供应商中标，以此类推。</w:t>
            </w:r>
          </w:p>
          <w:p>
            <w:pPr>
              <w:spacing w:line="360" w:lineRule="auto"/>
              <w:ind w:firstLine="397"/>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（2）项目地点：</w:t>
            </w:r>
            <w:r>
              <w:rPr>
                <w:rFonts w:hint="eastAsia" w:ascii="仿宋" w:hAnsi="仿宋" w:eastAsia="仿宋" w:cs="仿宋"/>
                <w:bCs/>
                <w:color w:val="auto"/>
                <w:sz w:val="24"/>
                <w:szCs w:val="24"/>
                <w:highlight w:val="none"/>
                <w:lang w:val="en-US" w:eastAsia="zh-CN"/>
              </w:rPr>
              <w:t>无锡市</w:t>
            </w:r>
            <w:r>
              <w:rPr>
                <w:rFonts w:hint="eastAsia" w:ascii="仿宋" w:hAnsi="仿宋" w:eastAsia="仿宋" w:cs="仿宋"/>
                <w:bCs/>
                <w:color w:val="auto"/>
                <w:sz w:val="24"/>
                <w:szCs w:val="24"/>
                <w:highlight w:val="none"/>
              </w:rPr>
              <w:t>。</w:t>
            </w:r>
          </w:p>
          <w:p>
            <w:pPr>
              <w:spacing w:line="360" w:lineRule="auto"/>
              <w:ind w:firstLine="39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1" w:name="_Hlk201775248"/>
            <w:r>
              <w:rPr>
                <w:rFonts w:hint="eastAsia" w:ascii="仿宋" w:hAnsi="仿宋" w:eastAsia="仿宋" w:cs="仿宋"/>
                <w:color w:val="auto"/>
                <w:sz w:val="24"/>
                <w:szCs w:val="24"/>
                <w:highlight w:val="none"/>
                <w:lang w:val="en-US" w:eastAsia="zh-CN"/>
              </w:rPr>
              <w:t>服务要求</w:t>
            </w:r>
            <w:r>
              <w:rPr>
                <w:rFonts w:hint="eastAsia" w:ascii="仿宋" w:hAnsi="仿宋" w:eastAsia="仿宋" w:cs="仿宋"/>
                <w:color w:val="auto"/>
                <w:sz w:val="24"/>
                <w:szCs w:val="24"/>
                <w:highlight w:val="none"/>
              </w:rPr>
              <w:t>：生活垃圾转运站运行管理有序，设施设备按照设备操作说明书规范操作，保障转运过程安全、及时、稳定、环保达标，具体运行管理要求</w:t>
            </w:r>
            <w:r>
              <w:rPr>
                <w:rFonts w:hint="eastAsia" w:ascii="仿宋" w:hAnsi="仿宋" w:eastAsia="仿宋" w:cs="仿宋"/>
                <w:color w:val="auto"/>
                <w:sz w:val="24"/>
                <w:szCs w:val="24"/>
                <w:highlight w:val="none"/>
                <w:lang w:val="en-US" w:eastAsia="zh-CN"/>
              </w:rPr>
              <w:t>详见采购文件</w:t>
            </w:r>
            <w:r>
              <w:rPr>
                <w:rFonts w:hint="eastAsia" w:ascii="仿宋" w:hAnsi="仿宋" w:eastAsia="仿宋" w:cs="仿宋"/>
                <w:color w:val="auto"/>
                <w:sz w:val="24"/>
                <w:szCs w:val="24"/>
                <w:highlight w:val="none"/>
              </w:rPr>
              <w:t>。</w:t>
            </w:r>
            <w:bookmarkEnd w:id="1"/>
          </w:p>
          <w:p>
            <w:pPr>
              <w:spacing w:line="360" w:lineRule="auto"/>
              <w:ind w:firstLine="39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质量标准</w:t>
            </w:r>
            <w:r>
              <w:rPr>
                <w:rFonts w:hint="eastAsia" w:ascii="仿宋" w:hAnsi="仿宋" w:eastAsia="仿宋" w:cs="仿宋"/>
                <w:color w:val="auto"/>
                <w:sz w:val="24"/>
                <w:szCs w:val="24"/>
                <w:highlight w:val="none"/>
              </w:rPr>
              <w:t>：需满足《生活垃圾转运站技术规范》（CJJ/T 47-2016）、《生活垃圾收集运输技术规程》（CJJ205-2013）、《生活垃圾转运站运行维护技术规程》（CJJ 109-2023）、《无锡市生活垃圾转运站建设和运营管理导则</w:t>
            </w:r>
            <w:r>
              <w:rPr>
                <w:rFonts w:hint="eastAsia" w:ascii="仿宋" w:hAnsi="仿宋" w:eastAsia="仿宋" w:cs="仿宋"/>
                <w:color w:val="auto"/>
                <w:sz w:val="24"/>
                <w:szCs w:val="24"/>
                <w:highlight w:val="none"/>
                <w:lang w:eastAsia="zh-CN"/>
              </w:rPr>
              <w:t>》《无锡市生活垃圾转运站管理指导意见》</w:t>
            </w:r>
            <w:r>
              <w:rPr>
                <w:rFonts w:hint="eastAsia" w:ascii="仿宋" w:hAnsi="仿宋" w:eastAsia="仿宋" w:cs="仿宋"/>
                <w:color w:val="auto"/>
                <w:sz w:val="24"/>
                <w:szCs w:val="24"/>
                <w:highlight w:val="none"/>
              </w:rPr>
              <w:t>和</w:t>
            </w:r>
            <w:r>
              <w:rPr>
                <w:rFonts w:hint="eastAsia" w:ascii="仿宋" w:hAnsi="仿宋" w:eastAsia="仿宋" w:cs="仿宋"/>
                <w:color w:val="auto"/>
                <w:sz w:val="24"/>
                <w:szCs w:val="24"/>
                <w:highlight w:val="none"/>
                <w:lang w:eastAsia="zh-CN"/>
              </w:rPr>
              <w:t>《转运站作业质量考核标准》</w:t>
            </w:r>
            <w:r>
              <w:rPr>
                <w:rFonts w:hint="eastAsia" w:ascii="仿宋" w:hAnsi="仿宋" w:eastAsia="仿宋" w:cs="仿宋"/>
                <w:color w:val="auto"/>
                <w:sz w:val="24"/>
                <w:szCs w:val="24"/>
                <w:highlight w:val="none"/>
              </w:rPr>
              <w:t>等文件要求，做到垃圾日产日清，水、气、声、渣达标排放，设施设备保养到位，确保安全、环保、稳定运行，具体以采购人确认为准。</w:t>
            </w:r>
          </w:p>
          <w:p>
            <w:pPr>
              <w:spacing w:line="360" w:lineRule="auto"/>
              <w:ind w:firstLine="39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服务期</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年（开始时间以甲方通知为准）。</w:t>
            </w:r>
          </w:p>
          <w:p>
            <w:pPr>
              <w:spacing w:line="360" w:lineRule="auto"/>
              <w:ind w:firstLine="397"/>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（6）本项目投标最高限价：</w:t>
            </w:r>
            <w:r>
              <w:rPr>
                <w:rFonts w:hint="eastAsia" w:ascii="仿宋" w:hAnsi="仿宋" w:eastAsia="仿宋" w:cs="仿宋"/>
                <w:b/>
                <w:color w:val="auto"/>
                <w:sz w:val="24"/>
                <w:szCs w:val="24"/>
                <w:highlight w:val="none"/>
                <w:lang w:val="en-US" w:eastAsia="zh-CN"/>
              </w:rPr>
              <w:t>一标段：1330.16万元；二标段：2369.30万元</w:t>
            </w:r>
            <w:r>
              <w:rPr>
                <w:rFonts w:hint="eastAsia" w:ascii="仿宋" w:hAnsi="仿宋" w:eastAsia="仿宋" w:cs="仿宋"/>
                <w:b/>
                <w:color w:val="auto"/>
                <w:sz w:val="24"/>
                <w:szCs w:val="24"/>
                <w:highlight w:val="none"/>
              </w:rPr>
              <w:t>。</w:t>
            </w:r>
          </w:p>
          <w:p>
            <w:pPr>
              <w:spacing w:line="360" w:lineRule="auto"/>
              <w:ind w:firstLine="39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（7）本项目是否接受联合体投标：否。</w:t>
            </w:r>
          </w:p>
          <w:p>
            <w:pPr>
              <w:spacing w:line="360" w:lineRule="auto"/>
              <w:ind w:firstLine="39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（8）本项目是否专门面向中小企业：</w:t>
            </w:r>
            <w:r>
              <w:rPr>
                <w:rFonts w:hint="eastAsia" w:ascii="仿宋" w:hAnsi="仿宋" w:eastAsia="仿宋" w:cs="仿宋"/>
                <w:color w:val="auto"/>
                <w:sz w:val="24"/>
                <w:szCs w:val="24"/>
                <w:highlight w:val="none"/>
                <w:lang w:val="en-US" w:eastAsia="zh-CN"/>
              </w:rPr>
              <w:t>否</w:t>
            </w:r>
            <w:r>
              <w:rPr>
                <w:rFonts w:hint="eastAsia" w:ascii="仿宋" w:hAnsi="仿宋" w:eastAsia="仿宋" w:cs="仿宋"/>
                <w:color w:val="auto"/>
                <w:sz w:val="24"/>
                <w:szCs w:val="24"/>
                <w:highlight w:val="none"/>
              </w:rPr>
              <w:t>。</w:t>
            </w:r>
          </w:p>
          <w:p>
            <w:pPr>
              <w:spacing w:line="360" w:lineRule="auto"/>
              <w:ind w:firstLine="39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（9）本项目标的所属行业：其他未列明行业。根据《关于印发中小企业划型标准规定的通知》工信部联企业〔2011〕300</w:t>
            </w:r>
            <w:r>
              <w:rPr>
                <w:rFonts w:hint="eastAsia" w:ascii="仿宋" w:hAnsi="仿宋" w:eastAsia="仿宋" w:cs="仿宋"/>
                <w:color w:val="auto"/>
                <w:sz w:val="24"/>
                <w:szCs w:val="24"/>
                <w:highlight w:val="none"/>
                <w:lang w:eastAsia="zh-CN"/>
              </w:rPr>
              <w:t>号</w:t>
            </w:r>
            <w:r>
              <w:rPr>
                <w:rFonts w:hint="eastAsia" w:ascii="仿宋" w:hAnsi="仿宋" w:eastAsia="仿宋" w:cs="仿宋"/>
                <w:color w:val="auto"/>
                <w:sz w:val="24"/>
                <w:szCs w:val="24"/>
                <w:highlight w:val="none"/>
              </w:rPr>
              <w:t>，其他未列明行业：从业人员300人以下的为中小微型企业。其中，从业人员100人及以上的为中型企业；从业人员10人及以上的为小型企业；从业人员10人以下的为微型企业。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9400" w:type="dxa"/>
            <w:noWrap w:val="0"/>
            <w:vAlign w:val="center"/>
          </w:tcPr>
          <w:p>
            <w:pPr>
              <w:widowControl/>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投标供应商资格要求：</w:t>
            </w:r>
          </w:p>
          <w:p>
            <w:pPr>
              <w:pStyle w:val="215"/>
              <w:numPr>
                <w:ilvl w:val="0"/>
                <w:numId w:val="0"/>
              </w:numPr>
              <w:spacing w:line="360" w:lineRule="auto"/>
              <w:ind w:left="410"/>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1.</w:t>
            </w:r>
            <w:r>
              <w:rPr>
                <w:rFonts w:hint="eastAsia" w:ascii="仿宋" w:hAnsi="仿宋" w:eastAsia="仿宋" w:cs="仿宋"/>
                <w:b/>
                <w:color w:val="auto"/>
                <w:sz w:val="24"/>
                <w:highlight w:val="none"/>
              </w:rPr>
              <w:t>符合《中华人民共和国政府采购法》第二十二条的规定：</w:t>
            </w:r>
          </w:p>
          <w:p>
            <w:pPr>
              <w:pStyle w:val="215"/>
              <w:spacing w:line="360" w:lineRule="auto"/>
              <w:rPr>
                <w:rFonts w:hint="eastAsia"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lang w:val="zh-CN"/>
              </w:rPr>
              <w:t xml:space="preserve">    （1）参加政府采购活动前三年内，在经营活动中没有重大违法记录；具有履行合同所必需的设备和专业技术能力；（提供关于资格的声明函，格式见附件）</w:t>
            </w:r>
          </w:p>
          <w:p>
            <w:pPr>
              <w:pStyle w:val="215"/>
              <w:spacing w:line="360" w:lineRule="auto"/>
              <w:ind w:firstLine="480"/>
              <w:rPr>
                <w:rFonts w:hint="eastAsia"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lang w:val="zh-CN"/>
              </w:rPr>
              <w:t>（2）具有独立承担民事责任的能力；（提供具有独立承担民事责任能力的投标供应商有效期内营业执照或相关部门的登记证明文件原件扫描件加盖供应商公章）</w:t>
            </w:r>
          </w:p>
          <w:p>
            <w:pPr>
              <w:pStyle w:val="215"/>
              <w:spacing w:line="360" w:lineRule="auto"/>
              <w:ind w:firstLine="480"/>
              <w:rPr>
                <w:rFonts w:hint="eastAsia"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lang w:val="zh-CN"/>
              </w:rPr>
              <w:t>（3）具有良好的商业信誉和健全的财务会计制度；（提供投标供应商近三个月中任意一个月份（不含投标当月）的有效财务状况报告（资产负债表和利润表）或由会计师事务所出具的</w:t>
            </w:r>
            <w:r>
              <w:rPr>
                <w:rFonts w:hint="eastAsia" w:ascii="仿宋" w:hAnsi="仿宋" w:eastAsia="仿宋" w:cs="仿宋"/>
                <w:bCs w:val="0"/>
                <w:color w:val="auto"/>
                <w:sz w:val="24"/>
                <w:szCs w:val="24"/>
                <w:highlight w:val="none"/>
              </w:rPr>
              <w:t>2024年</w:t>
            </w:r>
            <w:r>
              <w:rPr>
                <w:rFonts w:hint="eastAsia" w:ascii="仿宋" w:hAnsi="仿宋" w:eastAsia="仿宋" w:cs="仿宋"/>
                <w:bCs w:val="0"/>
                <w:color w:val="auto"/>
                <w:sz w:val="24"/>
                <w:szCs w:val="24"/>
                <w:highlight w:val="none"/>
                <w:lang w:val="zh-CN"/>
              </w:rPr>
              <w:t>度的财务审计报告和所附已审财务报告原件扫描件加盖供应商公章）</w:t>
            </w:r>
          </w:p>
          <w:p>
            <w:pPr>
              <w:pStyle w:val="215"/>
              <w:spacing w:line="360" w:lineRule="auto"/>
              <w:ind w:firstLine="480"/>
              <w:rPr>
                <w:rFonts w:hint="eastAsia"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lang w:val="zh-CN"/>
              </w:rPr>
              <w:t>（4）有依法缴纳税收的良好记录；（提供投标供应商近三个月中任意一个月份（不含投标当月）的依法缴纳税收的相关材料（提供相关主管部门证明或银行代扣证明）原件扫描件加盖供应商公章）</w:t>
            </w:r>
          </w:p>
          <w:p>
            <w:pPr>
              <w:pStyle w:val="215"/>
              <w:spacing w:line="360" w:lineRule="auto"/>
              <w:ind w:firstLine="480"/>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zh-CN"/>
              </w:rPr>
              <w:t>（5）有依法缴纳社会保障资金的良好记录；（提供供应商近三个月中任意一个月份（不含投标当月）的依法缴纳社会保障资金的相关材料（提供相关主管部门证明或银行代扣证明）原件扫描件加盖供应商公章）</w:t>
            </w:r>
          </w:p>
          <w:p>
            <w:pPr>
              <w:pStyle w:val="215"/>
              <w:spacing w:line="360" w:lineRule="auto"/>
              <w:ind w:firstLine="48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2.</w:t>
            </w:r>
            <w:r>
              <w:rPr>
                <w:rFonts w:hint="eastAsia" w:ascii="仿宋" w:hAnsi="仿宋" w:eastAsia="仿宋" w:cs="仿宋"/>
                <w:b/>
                <w:color w:val="auto"/>
                <w:sz w:val="24"/>
                <w:highlight w:val="none"/>
              </w:rPr>
              <w:t>落实政府采购政策需满足的资格要求</w:t>
            </w:r>
            <w:r>
              <w:rPr>
                <w:rFonts w:hint="eastAsia" w:ascii="仿宋" w:hAnsi="仿宋" w:eastAsia="仿宋" w:cs="仿宋"/>
                <w:b/>
                <w:color w:val="auto"/>
                <w:sz w:val="24"/>
                <w:highlight w:val="none"/>
                <w:lang w:eastAsia="zh-CN"/>
              </w:rPr>
              <w:t>：</w:t>
            </w:r>
          </w:p>
          <w:p>
            <w:pPr>
              <w:pStyle w:val="215"/>
              <w:spacing w:line="360" w:lineRule="auto"/>
              <w:ind w:firstLine="48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3.本项目的特定资格要求：</w:t>
            </w:r>
          </w:p>
          <w:p>
            <w:pPr>
              <w:pStyle w:val="215"/>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lang w:val="en-US" w:eastAsia="zh-CN"/>
              </w:rPr>
              <w:t>未被“信用中国”网站（www.creditchina.gov.cn）列入失信被执行人、重大税收违法案件当事人名单、政府采购严重失信行为记录名单。</w:t>
            </w:r>
          </w:p>
          <w:p>
            <w:pPr>
              <w:pStyle w:val="215"/>
              <w:spacing w:line="360" w:lineRule="auto"/>
              <w:ind w:firstLine="480"/>
              <w:rPr>
                <w:rFonts w:hint="eastAsia"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lang w:val="zh-CN"/>
              </w:rPr>
              <w:t>注：采购人及采购代理机构有权对以上资格条件进行核查，如投标供应商有弄虚作假行为或不具备以上条件的，视为投标供应商自动放弃投标资格或中标资格。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5</w:t>
            </w:r>
          </w:p>
        </w:tc>
        <w:tc>
          <w:tcPr>
            <w:tcW w:w="9400" w:type="dxa"/>
            <w:noWrap w:val="0"/>
            <w:vAlign w:val="center"/>
          </w:tcPr>
          <w:p>
            <w:pPr>
              <w:widowControl/>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获取招标文件：</w:t>
            </w:r>
          </w:p>
          <w:p>
            <w:pPr>
              <w:widowControl/>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获取招标文件的方式：请有投标意向的供应商在招标文件有效获取期内及时至“江苏省政府采购（苏采云）平台”获取。在招标文件有效获取期限内，从“江苏省政府采购（苏采云）平台”获取的招标文件，视为依法获取的招标文件。</w:t>
            </w:r>
          </w:p>
          <w:p>
            <w:pPr>
              <w:widowControl/>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招标文件获取时间：自招标文件公告发布之日起5个工作日，（有效获取期内的）每天0:00至12:00，下午12:00至23:59（北京时间，法定节假日除外），截止时间后仍可下载招标文件，但不作为供应商权益受到损害的证明材料和依据。</w:t>
            </w:r>
          </w:p>
          <w:p>
            <w:pPr>
              <w:widowControl/>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3.招标文件获取地点：“江苏省政府采购（苏采云）平台”。</w:t>
            </w:r>
          </w:p>
          <w:p>
            <w:pPr>
              <w:widowControl/>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4.售价：本项目招标文件免费。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9400" w:type="dxa"/>
            <w:noWrap w:val="0"/>
            <w:vAlign w:val="center"/>
          </w:tcPr>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招标文件的澄清修改：</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1.投标供应商</w:t>
            </w:r>
            <w:r>
              <w:rPr>
                <w:rFonts w:hint="eastAsia" w:ascii="仿宋" w:hAnsi="仿宋" w:eastAsia="仿宋" w:cs="仿宋"/>
                <w:color w:val="auto"/>
                <w:sz w:val="24"/>
                <w:szCs w:val="24"/>
                <w:highlight w:val="none"/>
              </w:rPr>
              <w:t>对招标文件提出澄清修改的方式</w:t>
            </w:r>
            <w:r>
              <w:rPr>
                <w:rFonts w:hint="eastAsia" w:ascii="仿宋" w:hAnsi="仿宋" w:eastAsia="仿宋" w:cs="仿宋"/>
                <w:bCs/>
                <w:color w:val="auto"/>
                <w:sz w:val="24"/>
                <w:szCs w:val="24"/>
                <w:highlight w:val="none"/>
              </w:rPr>
              <w:t>：</w:t>
            </w:r>
            <w:r>
              <w:rPr>
                <w:rFonts w:hint="eastAsia" w:ascii="仿宋" w:hAnsi="仿宋" w:eastAsia="仿宋" w:cs="仿宋"/>
                <w:b/>
                <w:color w:val="auto"/>
                <w:sz w:val="24"/>
                <w:szCs w:val="24"/>
                <w:highlight w:val="none"/>
                <w:lang w:eastAsia="zh-CN"/>
              </w:rPr>
              <w:t>2026</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日10:00时</w:t>
            </w:r>
            <w:r>
              <w:rPr>
                <w:rFonts w:hint="eastAsia" w:ascii="仿宋" w:hAnsi="仿宋" w:eastAsia="仿宋" w:cs="仿宋"/>
                <w:bCs/>
                <w:color w:val="auto"/>
                <w:sz w:val="24"/>
                <w:szCs w:val="24"/>
                <w:highlight w:val="none"/>
              </w:rPr>
              <w:t xml:space="preserve">前，投标供应商对招标文件提出澄清修改要求加盖供应商公章后，以电子邮件形式发送给采购代理机构。 </w:t>
            </w:r>
          </w:p>
          <w:p>
            <w:pPr>
              <w:widowControl/>
              <w:ind w:firstLine="48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color w:val="auto"/>
                <w:sz w:val="24"/>
                <w:szCs w:val="24"/>
                <w:highlight w:val="none"/>
              </w:rPr>
              <w:t>采购人对招标文件澄清修改的截止时间：</w:t>
            </w:r>
            <w:r>
              <w:rPr>
                <w:rFonts w:hint="eastAsia" w:ascii="仿宋" w:hAnsi="仿宋" w:eastAsia="仿宋" w:cs="仿宋"/>
                <w:b/>
                <w:color w:val="auto"/>
                <w:sz w:val="24"/>
                <w:szCs w:val="24"/>
                <w:highlight w:val="none"/>
                <w:lang w:eastAsia="zh-CN"/>
              </w:rPr>
              <w:t>2026</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日1</w:t>
            </w:r>
            <w:r>
              <w:rPr>
                <w:rFonts w:hint="eastAsia" w:ascii="仿宋" w:hAnsi="仿宋" w:eastAsia="仿宋" w:cs="仿宋"/>
                <w:b/>
                <w:color w:val="auto"/>
                <w:sz w:val="24"/>
                <w:szCs w:val="24"/>
                <w:highlight w:val="none"/>
                <w:lang w:val="en-US" w:eastAsia="zh-CN"/>
              </w:rPr>
              <w:t>7</w:t>
            </w:r>
            <w:r>
              <w:rPr>
                <w:rFonts w:hint="eastAsia" w:ascii="仿宋" w:hAnsi="仿宋" w:eastAsia="仿宋" w:cs="仿宋"/>
                <w:b/>
                <w:color w:val="auto"/>
                <w:sz w:val="24"/>
                <w:szCs w:val="24"/>
                <w:highlight w:val="none"/>
              </w:rPr>
              <w:t>:00时</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以更正公告形式发布。</w:t>
            </w:r>
          </w:p>
          <w:p>
            <w:pPr>
              <w:widowControl/>
              <w:spacing w:line="400" w:lineRule="exact"/>
              <w:ind w:firstLine="480"/>
              <w:jc w:val="left"/>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rPr>
              <w:t>3.本项目不组织统一踏勘现场，由各投标供应商自行踏勘，费用自理。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9400" w:type="dxa"/>
            <w:noWrap w:val="0"/>
            <w:vAlign w:val="center"/>
          </w:tcPr>
          <w:p>
            <w:pPr>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投标保证金：</w:t>
            </w:r>
            <w:r>
              <w:rPr>
                <w:rFonts w:hint="eastAsia" w:ascii="仿宋" w:hAnsi="仿宋" w:eastAsia="仿宋" w:cs="仿宋"/>
                <w:bCs/>
                <w:color w:val="auto"/>
                <w:sz w:val="24"/>
                <w:szCs w:val="24"/>
                <w:highlight w:val="none"/>
              </w:rPr>
              <w:t>本项目不收取投标保证金。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9400" w:type="dxa"/>
            <w:noWrap w:val="0"/>
            <w:vAlign w:val="center"/>
          </w:tcPr>
          <w:p>
            <w:pP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投标有效期：</w:t>
            </w:r>
            <w:r>
              <w:rPr>
                <w:rFonts w:hint="eastAsia" w:ascii="仿宋" w:hAnsi="仿宋" w:eastAsia="仿宋" w:cs="仿宋"/>
                <w:color w:val="auto"/>
                <w:sz w:val="24"/>
                <w:szCs w:val="24"/>
                <w:highlight w:val="none"/>
              </w:rPr>
              <w:t>投标截止之日起90天。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2"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9</w:t>
            </w:r>
          </w:p>
        </w:tc>
        <w:tc>
          <w:tcPr>
            <w:tcW w:w="9400" w:type="dxa"/>
            <w:noWrap w:val="0"/>
            <w:vAlign w:val="center"/>
          </w:tcPr>
          <w:p>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投标文件的接收信息：</w:t>
            </w:r>
          </w:p>
          <w:p>
            <w:pPr>
              <w:ind w:firstLine="480"/>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1.网上投标截止时间：</w:t>
            </w:r>
            <w:r>
              <w:rPr>
                <w:rFonts w:hint="eastAsia" w:ascii="仿宋" w:hAnsi="仿宋" w:eastAsia="仿宋" w:cs="仿宋"/>
                <w:b/>
                <w:color w:val="auto"/>
                <w:sz w:val="24"/>
                <w:szCs w:val="32"/>
                <w:highlight w:val="none"/>
                <w:lang w:eastAsia="zh-CN"/>
              </w:rPr>
              <w:t>2026</w:t>
            </w:r>
            <w:r>
              <w:rPr>
                <w:rFonts w:hint="eastAsia" w:ascii="仿宋" w:hAnsi="仿宋" w:eastAsia="仿宋" w:cs="仿宋"/>
                <w:b/>
                <w:color w:val="auto"/>
                <w:sz w:val="24"/>
                <w:szCs w:val="32"/>
                <w:highlight w:val="none"/>
              </w:rPr>
              <w:t>年</w:t>
            </w:r>
            <w:r>
              <w:rPr>
                <w:rFonts w:hint="eastAsia" w:ascii="仿宋" w:hAnsi="仿宋" w:eastAsia="仿宋" w:cs="仿宋"/>
                <w:b/>
                <w:color w:val="auto"/>
                <w:sz w:val="24"/>
                <w:szCs w:val="32"/>
                <w:highlight w:val="none"/>
                <w:lang w:val="en-US" w:eastAsia="zh-CN"/>
              </w:rPr>
              <w:t>6</w:t>
            </w:r>
            <w:r>
              <w:rPr>
                <w:rFonts w:hint="eastAsia" w:ascii="仿宋" w:hAnsi="仿宋" w:eastAsia="仿宋" w:cs="仿宋"/>
                <w:b/>
                <w:color w:val="auto"/>
                <w:sz w:val="24"/>
                <w:szCs w:val="32"/>
                <w:highlight w:val="none"/>
              </w:rPr>
              <w:t>月</w:t>
            </w:r>
            <w:r>
              <w:rPr>
                <w:rFonts w:hint="eastAsia" w:ascii="仿宋" w:hAnsi="仿宋" w:eastAsia="仿宋" w:cs="仿宋"/>
                <w:b/>
                <w:color w:val="auto"/>
                <w:sz w:val="24"/>
                <w:szCs w:val="32"/>
                <w:highlight w:val="none"/>
                <w:lang w:val="en-US" w:eastAsia="zh-CN"/>
              </w:rPr>
              <w:t>17</w:t>
            </w:r>
            <w:r>
              <w:rPr>
                <w:rFonts w:hint="eastAsia" w:ascii="仿宋" w:hAnsi="仿宋" w:eastAsia="仿宋" w:cs="仿宋"/>
                <w:b/>
                <w:color w:val="auto"/>
                <w:sz w:val="24"/>
                <w:szCs w:val="32"/>
                <w:highlight w:val="none"/>
              </w:rPr>
              <w:t>日</w:t>
            </w:r>
            <w:r>
              <w:rPr>
                <w:rFonts w:hint="eastAsia" w:ascii="仿宋" w:hAnsi="仿宋" w:eastAsia="仿宋" w:cs="仿宋"/>
                <w:b/>
                <w:color w:val="auto"/>
                <w:sz w:val="24"/>
                <w:szCs w:val="32"/>
                <w:highlight w:val="none"/>
                <w:lang w:val="en-US" w:eastAsia="zh-CN"/>
              </w:rPr>
              <w:t>09</w:t>
            </w:r>
            <w:r>
              <w:rPr>
                <w:rFonts w:hint="eastAsia" w:ascii="仿宋" w:hAnsi="仿宋" w:eastAsia="仿宋" w:cs="仿宋"/>
                <w:b/>
                <w:color w:val="auto"/>
                <w:sz w:val="24"/>
                <w:szCs w:val="32"/>
                <w:highlight w:val="none"/>
              </w:rPr>
              <w:t>:</w:t>
            </w:r>
            <w:r>
              <w:rPr>
                <w:rFonts w:hint="eastAsia" w:ascii="仿宋" w:hAnsi="仿宋" w:eastAsia="仿宋" w:cs="仿宋"/>
                <w:b/>
                <w:color w:val="auto"/>
                <w:sz w:val="24"/>
                <w:szCs w:val="32"/>
                <w:highlight w:val="none"/>
                <w:lang w:val="en-US" w:eastAsia="zh-CN"/>
              </w:rPr>
              <w:t>30</w:t>
            </w:r>
            <w:r>
              <w:rPr>
                <w:rFonts w:hint="eastAsia" w:ascii="仿宋" w:hAnsi="仿宋" w:eastAsia="仿宋" w:cs="仿宋"/>
                <w:b/>
                <w:color w:val="auto"/>
                <w:sz w:val="24"/>
                <w:szCs w:val="32"/>
                <w:highlight w:val="none"/>
              </w:rPr>
              <w:t>止</w:t>
            </w:r>
            <w:r>
              <w:rPr>
                <w:rFonts w:hint="eastAsia" w:ascii="仿宋" w:hAnsi="仿宋" w:eastAsia="仿宋" w:cs="仿宋"/>
                <w:bCs/>
                <w:color w:val="auto"/>
                <w:sz w:val="24"/>
                <w:szCs w:val="32"/>
                <w:highlight w:val="none"/>
              </w:rPr>
              <w:t>，投标截止时间后的投标文件恕不接受。</w:t>
            </w:r>
          </w:p>
          <w:p>
            <w:pPr>
              <w:ind w:firstLine="480"/>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2.网上投标解密时间：</w:t>
            </w:r>
            <w:r>
              <w:rPr>
                <w:rFonts w:hint="eastAsia" w:ascii="仿宋" w:hAnsi="仿宋" w:eastAsia="仿宋" w:cs="仿宋"/>
                <w:b/>
                <w:color w:val="auto"/>
                <w:sz w:val="24"/>
                <w:szCs w:val="32"/>
                <w:highlight w:val="none"/>
                <w:lang w:eastAsia="zh-CN"/>
              </w:rPr>
              <w:t>2026</w:t>
            </w:r>
            <w:r>
              <w:rPr>
                <w:rFonts w:hint="eastAsia" w:ascii="仿宋" w:hAnsi="仿宋" w:eastAsia="仿宋" w:cs="仿宋"/>
                <w:b/>
                <w:color w:val="auto"/>
                <w:sz w:val="24"/>
                <w:szCs w:val="32"/>
                <w:highlight w:val="none"/>
              </w:rPr>
              <w:t>年</w:t>
            </w:r>
            <w:r>
              <w:rPr>
                <w:rFonts w:hint="eastAsia" w:ascii="仿宋" w:hAnsi="仿宋" w:eastAsia="仿宋" w:cs="仿宋"/>
                <w:b/>
                <w:color w:val="auto"/>
                <w:sz w:val="24"/>
                <w:szCs w:val="32"/>
                <w:highlight w:val="none"/>
                <w:lang w:val="en-US" w:eastAsia="zh-CN"/>
              </w:rPr>
              <w:t>6</w:t>
            </w:r>
            <w:r>
              <w:rPr>
                <w:rFonts w:hint="eastAsia" w:ascii="仿宋" w:hAnsi="仿宋" w:eastAsia="仿宋" w:cs="仿宋"/>
                <w:b/>
                <w:color w:val="auto"/>
                <w:sz w:val="24"/>
                <w:szCs w:val="32"/>
                <w:highlight w:val="none"/>
              </w:rPr>
              <w:t>月</w:t>
            </w:r>
            <w:r>
              <w:rPr>
                <w:rFonts w:hint="eastAsia" w:ascii="仿宋" w:hAnsi="仿宋" w:eastAsia="仿宋" w:cs="仿宋"/>
                <w:b/>
                <w:color w:val="auto"/>
                <w:sz w:val="24"/>
                <w:szCs w:val="32"/>
                <w:highlight w:val="none"/>
                <w:lang w:val="en-US" w:eastAsia="zh-CN"/>
              </w:rPr>
              <w:t>17</w:t>
            </w:r>
            <w:r>
              <w:rPr>
                <w:rFonts w:hint="eastAsia" w:ascii="仿宋" w:hAnsi="仿宋" w:eastAsia="仿宋" w:cs="仿宋"/>
                <w:b/>
                <w:color w:val="auto"/>
                <w:sz w:val="24"/>
                <w:szCs w:val="32"/>
                <w:highlight w:val="none"/>
              </w:rPr>
              <w:t>日</w:t>
            </w:r>
            <w:r>
              <w:rPr>
                <w:rFonts w:hint="eastAsia" w:ascii="仿宋" w:hAnsi="仿宋" w:eastAsia="仿宋" w:cs="仿宋"/>
                <w:b/>
                <w:color w:val="auto"/>
                <w:sz w:val="24"/>
                <w:szCs w:val="32"/>
                <w:highlight w:val="none"/>
                <w:lang w:val="en-US" w:eastAsia="zh-CN"/>
              </w:rPr>
              <w:t>09</w:t>
            </w:r>
            <w:r>
              <w:rPr>
                <w:rFonts w:hint="eastAsia" w:ascii="仿宋" w:hAnsi="仿宋" w:eastAsia="仿宋" w:cs="仿宋"/>
                <w:b/>
                <w:color w:val="auto"/>
                <w:sz w:val="24"/>
                <w:szCs w:val="32"/>
                <w:highlight w:val="none"/>
              </w:rPr>
              <w:t>:</w:t>
            </w:r>
            <w:r>
              <w:rPr>
                <w:rFonts w:hint="eastAsia" w:ascii="仿宋" w:hAnsi="仿宋" w:eastAsia="仿宋" w:cs="仿宋"/>
                <w:b/>
                <w:color w:val="auto"/>
                <w:sz w:val="24"/>
                <w:szCs w:val="32"/>
                <w:highlight w:val="none"/>
                <w:lang w:val="en-US" w:eastAsia="zh-CN"/>
              </w:rPr>
              <w:t>30</w:t>
            </w:r>
            <w:r>
              <w:rPr>
                <w:rFonts w:hint="eastAsia" w:ascii="仿宋" w:hAnsi="仿宋" w:eastAsia="仿宋" w:cs="仿宋"/>
                <w:b/>
                <w:color w:val="auto"/>
                <w:sz w:val="24"/>
                <w:szCs w:val="32"/>
                <w:highlight w:val="none"/>
              </w:rPr>
              <w:t>。</w:t>
            </w:r>
          </w:p>
          <w:p>
            <w:pPr>
              <w:ind w:firstLine="480"/>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3.解密时限：开启解密后30分钟，通过江苏省政府采购（苏采云）平台（使用“CA数字证书”）解密。</w:t>
            </w:r>
          </w:p>
          <w:p>
            <w:pPr>
              <w:ind w:firstLine="480"/>
              <w:rPr>
                <w:rFonts w:hint="eastAsia" w:ascii="仿宋" w:hAnsi="仿宋" w:eastAsia="仿宋" w:cs="仿宋"/>
                <w:color w:val="auto"/>
                <w:sz w:val="24"/>
                <w:highlight w:val="none"/>
              </w:rPr>
            </w:pPr>
            <w:r>
              <w:rPr>
                <w:rFonts w:hint="eastAsia" w:ascii="仿宋" w:hAnsi="仿宋" w:eastAsia="仿宋" w:cs="仿宋"/>
                <w:bCs/>
                <w:color w:val="auto"/>
                <w:sz w:val="24"/>
                <w:szCs w:val="32"/>
                <w:highlight w:val="none"/>
              </w:rPr>
              <w:t>4.接收</w:t>
            </w:r>
            <w:r>
              <w:rPr>
                <w:rFonts w:hint="eastAsia" w:ascii="仿宋" w:hAnsi="仿宋" w:eastAsia="仿宋" w:cs="仿宋"/>
                <w:bCs/>
                <w:color w:val="auto"/>
                <w:sz w:val="24"/>
                <w:szCs w:val="32"/>
                <w:highlight w:val="none"/>
                <w:lang w:val="zh-CN"/>
              </w:rPr>
              <w:t>地点</w:t>
            </w:r>
            <w:r>
              <w:rPr>
                <w:rFonts w:hint="eastAsia" w:ascii="仿宋" w:hAnsi="仿宋" w:eastAsia="仿宋" w:cs="仿宋"/>
                <w:bCs/>
                <w:color w:val="auto"/>
                <w:sz w:val="24"/>
                <w:szCs w:val="32"/>
                <w:highlight w:val="none"/>
              </w:rPr>
              <w:t>：</w:t>
            </w:r>
            <w:r>
              <w:rPr>
                <w:rFonts w:hint="eastAsia" w:ascii="仿宋" w:hAnsi="仿宋" w:eastAsia="仿宋" w:cs="仿宋"/>
                <w:color w:val="auto"/>
                <w:sz w:val="24"/>
                <w:highlight w:val="none"/>
              </w:rPr>
              <w:t>“江苏省政府采购（苏采云）平台”。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10</w:t>
            </w:r>
          </w:p>
        </w:tc>
        <w:tc>
          <w:tcPr>
            <w:tcW w:w="9400" w:type="dxa"/>
            <w:noWrap w:val="0"/>
            <w:vAlign w:val="center"/>
          </w:tcPr>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开标有关信息：</w:t>
            </w:r>
          </w:p>
          <w:p>
            <w:pPr>
              <w:tabs>
                <w:tab w:val="left" w:pos="312"/>
              </w:tabs>
              <w:ind w:left="48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1.开标时间：</w:t>
            </w:r>
            <w:r>
              <w:rPr>
                <w:rFonts w:hint="eastAsia" w:ascii="仿宋" w:hAnsi="仿宋" w:eastAsia="仿宋" w:cs="仿宋"/>
                <w:b/>
                <w:color w:val="auto"/>
                <w:sz w:val="24"/>
                <w:szCs w:val="32"/>
                <w:highlight w:val="none"/>
                <w:lang w:eastAsia="zh-CN"/>
              </w:rPr>
              <w:t>2026</w:t>
            </w:r>
            <w:r>
              <w:rPr>
                <w:rFonts w:hint="eastAsia" w:ascii="仿宋" w:hAnsi="仿宋" w:eastAsia="仿宋" w:cs="仿宋"/>
                <w:b/>
                <w:color w:val="auto"/>
                <w:sz w:val="24"/>
                <w:szCs w:val="32"/>
                <w:highlight w:val="none"/>
              </w:rPr>
              <w:t>年</w:t>
            </w:r>
            <w:r>
              <w:rPr>
                <w:rFonts w:hint="eastAsia" w:ascii="仿宋" w:hAnsi="仿宋" w:eastAsia="仿宋" w:cs="仿宋"/>
                <w:b/>
                <w:color w:val="auto"/>
                <w:sz w:val="24"/>
                <w:szCs w:val="32"/>
                <w:highlight w:val="none"/>
                <w:lang w:val="en-US" w:eastAsia="zh-CN"/>
              </w:rPr>
              <w:t>6</w:t>
            </w:r>
            <w:r>
              <w:rPr>
                <w:rFonts w:hint="eastAsia" w:ascii="仿宋" w:hAnsi="仿宋" w:eastAsia="仿宋" w:cs="仿宋"/>
                <w:b/>
                <w:color w:val="auto"/>
                <w:sz w:val="24"/>
                <w:szCs w:val="32"/>
                <w:highlight w:val="none"/>
              </w:rPr>
              <w:t>月</w:t>
            </w:r>
            <w:r>
              <w:rPr>
                <w:rFonts w:hint="eastAsia" w:ascii="仿宋" w:hAnsi="仿宋" w:eastAsia="仿宋" w:cs="仿宋"/>
                <w:b/>
                <w:color w:val="auto"/>
                <w:sz w:val="24"/>
                <w:szCs w:val="32"/>
                <w:highlight w:val="none"/>
                <w:lang w:val="en-US" w:eastAsia="zh-CN"/>
              </w:rPr>
              <w:t>17</w:t>
            </w:r>
            <w:r>
              <w:rPr>
                <w:rFonts w:hint="eastAsia" w:ascii="仿宋" w:hAnsi="仿宋" w:eastAsia="仿宋" w:cs="仿宋"/>
                <w:b/>
                <w:color w:val="auto"/>
                <w:sz w:val="24"/>
                <w:szCs w:val="32"/>
                <w:highlight w:val="none"/>
              </w:rPr>
              <w:t>日</w:t>
            </w:r>
            <w:r>
              <w:rPr>
                <w:rFonts w:hint="eastAsia" w:ascii="仿宋" w:hAnsi="仿宋" w:eastAsia="仿宋" w:cs="仿宋"/>
                <w:b/>
                <w:color w:val="auto"/>
                <w:sz w:val="24"/>
                <w:szCs w:val="32"/>
                <w:highlight w:val="none"/>
                <w:lang w:val="en-US" w:eastAsia="zh-CN"/>
              </w:rPr>
              <w:t>09</w:t>
            </w:r>
            <w:r>
              <w:rPr>
                <w:rFonts w:hint="eastAsia" w:ascii="仿宋" w:hAnsi="仿宋" w:eastAsia="仿宋" w:cs="仿宋"/>
                <w:b/>
                <w:color w:val="auto"/>
                <w:sz w:val="24"/>
                <w:szCs w:val="32"/>
                <w:highlight w:val="none"/>
              </w:rPr>
              <w:t>:</w:t>
            </w:r>
            <w:r>
              <w:rPr>
                <w:rFonts w:hint="eastAsia" w:ascii="仿宋" w:hAnsi="仿宋" w:eastAsia="仿宋" w:cs="仿宋"/>
                <w:b/>
                <w:color w:val="auto"/>
                <w:sz w:val="24"/>
                <w:szCs w:val="32"/>
                <w:highlight w:val="none"/>
                <w:lang w:val="en-US" w:eastAsia="zh-CN"/>
              </w:rPr>
              <w:t>30</w:t>
            </w:r>
            <w:r>
              <w:rPr>
                <w:rFonts w:hint="eastAsia" w:ascii="仿宋" w:hAnsi="仿宋" w:eastAsia="仿宋" w:cs="仿宋"/>
                <w:b/>
                <w:color w:val="auto"/>
                <w:sz w:val="24"/>
                <w:szCs w:val="32"/>
                <w:highlight w:val="none"/>
              </w:rPr>
              <w:t>。</w:t>
            </w:r>
          </w:p>
          <w:p>
            <w:pPr>
              <w:widowControl/>
              <w:spacing w:line="4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2.开标地点：“江苏省政府采购（苏采云）平台”网上开标大厅。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w:t>
            </w:r>
          </w:p>
        </w:tc>
        <w:tc>
          <w:tcPr>
            <w:tcW w:w="9400" w:type="dxa"/>
            <w:noWrap w:val="0"/>
            <w:vAlign w:val="center"/>
          </w:tcPr>
          <w:p>
            <w:pPr>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评审有关信息</w:t>
            </w:r>
            <w:r>
              <w:rPr>
                <w:rFonts w:hint="eastAsia" w:ascii="仿宋" w:hAnsi="仿宋" w:eastAsia="仿宋" w:cs="仿宋"/>
                <w:bCs/>
                <w:color w:val="auto"/>
                <w:sz w:val="24"/>
                <w:szCs w:val="24"/>
                <w:highlight w:val="none"/>
              </w:rPr>
              <w:t>：</w:t>
            </w:r>
          </w:p>
          <w:p>
            <w:pPr>
              <w:numPr>
                <w:ilvl w:val="0"/>
                <w:numId w:val="25"/>
              </w:num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评审时间：</w:t>
            </w:r>
            <w:r>
              <w:rPr>
                <w:rFonts w:hint="eastAsia" w:ascii="仿宋" w:hAnsi="仿宋" w:eastAsia="仿宋" w:cs="仿宋"/>
                <w:b/>
                <w:color w:val="auto"/>
                <w:sz w:val="24"/>
                <w:szCs w:val="24"/>
                <w:highlight w:val="none"/>
                <w:lang w:eastAsia="zh-CN"/>
              </w:rPr>
              <w:t>2026</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32"/>
                <w:highlight w:val="none"/>
              </w:rPr>
              <w:t>月</w:t>
            </w:r>
            <w:r>
              <w:rPr>
                <w:rFonts w:hint="eastAsia" w:ascii="仿宋" w:hAnsi="仿宋" w:eastAsia="仿宋" w:cs="仿宋"/>
                <w:b/>
                <w:color w:val="auto"/>
                <w:sz w:val="24"/>
                <w:szCs w:val="32"/>
                <w:highlight w:val="none"/>
                <w:lang w:val="en-US" w:eastAsia="zh-CN"/>
              </w:rPr>
              <w:t>17</w:t>
            </w:r>
            <w:r>
              <w:rPr>
                <w:rFonts w:hint="eastAsia" w:ascii="仿宋" w:hAnsi="仿宋" w:eastAsia="仿宋" w:cs="仿宋"/>
                <w:b/>
                <w:color w:val="auto"/>
                <w:sz w:val="24"/>
                <w:szCs w:val="32"/>
                <w:highlight w:val="none"/>
              </w:rPr>
              <w:t>日</w:t>
            </w:r>
            <w:r>
              <w:rPr>
                <w:rFonts w:hint="eastAsia" w:ascii="仿宋" w:hAnsi="仿宋" w:eastAsia="仿宋" w:cs="仿宋"/>
                <w:bCs/>
                <w:color w:val="auto"/>
                <w:sz w:val="24"/>
                <w:szCs w:val="24"/>
                <w:highlight w:val="none"/>
              </w:rPr>
              <w:t>开标结束。</w:t>
            </w:r>
          </w:p>
          <w:p>
            <w:pPr>
              <w:widowControl/>
              <w:ind w:firstLine="480"/>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2.评审地点：通过江苏省政府采购（苏采云）平台（http://jszfcg.jsczt.cn/）线上评审。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12</w:t>
            </w:r>
          </w:p>
        </w:tc>
        <w:tc>
          <w:tcPr>
            <w:tcW w:w="9400" w:type="dxa"/>
            <w:noWrap w:val="0"/>
            <w:vAlign w:val="center"/>
          </w:tcPr>
          <w:p>
            <w:pPr>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投标文件制作要求：</w:t>
            </w:r>
          </w:p>
          <w:p>
            <w:pPr>
              <w:widowControl/>
              <w:ind w:firstLine="480"/>
              <w:rPr>
                <w:rFonts w:hint="eastAsia" w:ascii="仿宋" w:hAnsi="仿宋" w:eastAsia="仿宋" w:cs="仿宋"/>
                <w:bCs/>
                <w:color w:val="auto"/>
                <w:sz w:val="24"/>
                <w:szCs w:val="24"/>
                <w:highlight w:val="none"/>
              </w:rPr>
            </w:pPr>
            <w:bookmarkStart w:id="2" w:name="_Hlk210937001"/>
            <w:r>
              <w:rPr>
                <w:rFonts w:hint="eastAsia" w:ascii="仿宋" w:hAnsi="仿宋" w:eastAsia="仿宋" w:cs="仿宋"/>
                <w:bCs/>
                <w:color w:val="auto"/>
                <w:sz w:val="24"/>
                <w:szCs w:val="24"/>
                <w:highlight w:val="none"/>
              </w:rPr>
              <w:t>1.因本项目为采用线上电子开评标（网上不见面开标），供应商在苏采云系统规定的时间内对投标文件进行解密。</w:t>
            </w:r>
          </w:p>
          <w:p>
            <w:pPr>
              <w:widowControl/>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2.中标供应商在收到中标通知书后与采购人签订合同前，必须提供与系统中电子投标文件一致的纸质投标文件一式三份。</w:t>
            </w:r>
          </w:p>
          <w:p>
            <w:pPr>
              <w:widowControl/>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3.供应商请仔细阅读供应商注册流程和公开招标文件中关于电子开评标等相关事项，如有问题可发送邮件或电话咨询。</w:t>
            </w:r>
            <w:bookmarkEnd w:id="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13</w:t>
            </w:r>
          </w:p>
        </w:tc>
        <w:tc>
          <w:tcPr>
            <w:tcW w:w="9400" w:type="dxa"/>
            <w:noWrap w:val="0"/>
            <w:vAlign w:val="center"/>
          </w:tcPr>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特别提醒：</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（一）供应商“账号注册”及CA办理</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1.请有意参加本项目采购活动的供应商按以下流程进行操作：</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访问“江苏政府采购网”点击“江苏省政府采购（苏采云）平台”（以下简称“苏采云”系统）选择供应商版块，点击“用户注册”按钮，进行账号注册，注册完成后需在系统中填写资质信息并提交。也可以直接通过http://jszfcg.jsczt.cn/进入界面。</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（2）办理“意源”CA数字证书和“方正”电子签章（办理地址：无锡市滨湖区观山路199号12号楼二楼9号、10号窗口），办理指南链接：http://jsxcmm.com/help/help.html。</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（3）CA驱动下载：</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在“苏采云”系统账号登录页面，点击“驱动下载”链接中的“政务CA、方正签章控件驱动安装包及安装说明”可以直接下载驱动安装包，安装包中附有驱动安装手册。</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技术服务电话：0510-81827781（服务时间：工作日 9:00-11:30,13:00-17:00）</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特别提醒：</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（一）供应商“账号注册”及CA办理</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1.请有意参加本项目采购活动的供应商按以下流程进行操作：</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访问“江苏政府采购网”点击“江苏省政府采购（苏采云）平台”（以下简称“苏采云”系统）选择供应商版块，点击“用户注册”按钮，进行账号注册，注册完成后需在系统中填写资质信息并提交。也可以直接通过http://jszfcg.jsczt.cn/进入界面。</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（2）办理“意源”CA数字证书和“方正”电子签章（办理地址：无锡市滨湖区观山路199号12号楼二楼9号、10号窗口），办理指南链接：http://jsxcmm.com/help/help.html。</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（3）CA驱动下载：</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在“苏采云”系统账号登录页面，点击“驱动下载”链接中的“政务CA、方正签章控件驱动安装包及安装说明”可以直接下载驱动安装包，安装包中附有驱动安装手册。</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技术服务电话：0510-81827781（服务时间：工作日 9:00-11:30,13:00-17:00）</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2.完成“苏采云”系统账号注册的供应商方可在“苏采云”系统中进行CA绑定。登录“苏采云”系统，插入CA后，点击【账号设置】——【绑定CA】。</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3.供应商应按上述要求提供相关材料信息，所提供的材料应均是真实的、准确的，若有违背，供应商自行承担由此而产生的一切后果。</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如供应商未按上述要求操作，由此所产生的损失及风险由供应商自行承担。具体操作步骤详见《“苏采云”系统供应商操作手册》（以下简称《操作手册》），下载地址：无锡政府采购网——资料下载——苏采云——“苏采云”系统供应商操作手册。</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技术支持QQ：孙先生：442456465；王先生：1476328133。</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（二）完成项目参与，获取招标文件</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（三）有关本次采购的事项若存在变动或修改，敬请及时关注采购人/采购代理机构在“江苏政府采购网”发布的更正公告。</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（四）线上不见面开标</w:t>
            </w:r>
          </w:p>
          <w:p>
            <w:pPr>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本项目进行线上不见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评标委员会的询标和评标结果，中途不得离开。投标供应商如未按要求应答，由此所产生的损失及风险由投标供应商自行承担。具体操作流程详见《“苏采云”系统供应商操作手册》。因供应商网络与电源不稳定、未按要求配置上述设备、上述设备发生故障等自身原因，导致开标评标失败</w:t>
            </w:r>
            <w:r>
              <w:rPr>
                <w:rFonts w:hint="eastAsia" w:ascii="仿宋" w:hAnsi="仿宋" w:eastAsia="仿宋" w:cs="仿宋"/>
                <w:bCs/>
                <w:color w:val="auto"/>
                <w:sz w:val="24"/>
                <w:szCs w:val="24"/>
                <w:highlight w:val="none"/>
                <w:lang w:eastAsia="zh-CN"/>
              </w:rPr>
              <w:t>，由</w:t>
            </w:r>
            <w:r>
              <w:rPr>
                <w:rFonts w:hint="eastAsia" w:ascii="仿宋" w:hAnsi="仿宋" w:eastAsia="仿宋" w:cs="仿宋"/>
                <w:bCs/>
                <w:color w:val="auto"/>
                <w:sz w:val="24"/>
                <w:szCs w:val="24"/>
                <w:highlight w:val="none"/>
              </w:rPr>
              <w:t>供应商自行承担后果。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3" w:hRule="atLeast"/>
          <w:jc w:val="center"/>
        </w:trPr>
        <w:tc>
          <w:tcPr>
            <w:tcW w:w="771" w:type="dxa"/>
            <w:noWrap w:val="0"/>
            <w:vAlign w:val="center"/>
          </w:tcPr>
          <w:p>
            <w:pPr>
              <w:widowControl/>
              <w:spacing w:line="30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9400" w:type="dxa"/>
            <w:noWrap w:val="0"/>
            <w:vAlign w:val="center"/>
          </w:tcPr>
          <w:p>
            <w:pP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有关本次采购活动程序方面的问题，可来人、来函（传真）或电话联系。</w:t>
            </w:r>
          </w:p>
          <w:p>
            <w:pPr>
              <w:ind w:firstLine="48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采购人名称：</w:t>
            </w:r>
            <w:r>
              <w:rPr>
                <w:rFonts w:hint="eastAsia" w:ascii="仿宋" w:hAnsi="仿宋" w:eastAsia="仿宋" w:cs="仿宋"/>
                <w:color w:val="auto"/>
                <w:sz w:val="24"/>
                <w:szCs w:val="24"/>
                <w:highlight w:val="none"/>
                <w:lang w:eastAsia="zh-CN"/>
              </w:rPr>
              <w:t>无锡市环境卫生管理服务中心</w:t>
            </w:r>
          </w:p>
          <w:p>
            <w:pPr>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采购人统一社会信用代码：123202004663080909</w:t>
            </w:r>
          </w:p>
          <w:p>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联系人：瞿瑶</w:t>
            </w:r>
            <w:r>
              <w:rPr>
                <w:rFonts w:hint="eastAsia" w:ascii="仿宋" w:hAnsi="仿宋" w:eastAsia="仿宋" w:cs="仿宋"/>
                <w:color w:val="auto"/>
                <w:sz w:val="24"/>
                <w:szCs w:val="24"/>
                <w:highlight w:val="none"/>
                <w:lang w:val="en-US" w:eastAsia="zh-CN"/>
              </w:rPr>
              <w:t xml:space="preserve">   </w:t>
            </w:r>
          </w:p>
          <w:p>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lang w:val="en-US" w:eastAsia="zh-CN"/>
              </w:rPr>
              <w:t>0510-</w:t>
            </w:r>
            <w:r>
              <w:rPr>
                <w:rFonts w:hint="eastAsia" w:ascii="仿宋" w:hAnsi="仿宋" w:eastAsia="仿宋" w:cs="仿宋"/>
                <w:color w:val="auto"/>
                <w:sz w:val="24"/>
                <w:szCs w:val="24"/>
                <w:highlight w:val="none"/>
              </w:rPr>
              <w:t>85051776</w:t>
            </w:r>
            <w:r>
              <w:rPr>
                <w:rFonts w:hint="eastAsia" w:ascii="仿宋" w:hAnsi="仿宋" w:eastAsia="仿宋" w:cs="仿宋"/>
                <w:color w:val="auto"/>
                <w:sz w:val="24"/>
                <w:szCs w:val="24"/>
                <w:highlight w:val="none"/>
                <w:lang w:val="en-US" w:eastAsia="zh-CN"/>
              </w:rPr>
              <w:t xml:space="preserve">   </w:t>
            </w:r>
          </w:p>
          <w:p>
            <w:pPr>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地址：无锡市塘南一支路3号</w:t>
            </w:r>
          </w:p>
          <w:p>
            <w:pPr>
              <w:widowControl/>
              <w:ind w:firstLine="352"/>
              <w:rPr>
                <w:rFonts w:hint="eastAsia" w:ascii="仿宋" w:hAnsi="仿宋" w:eastAsia="仿宋" w:cs="仿宋"/>
                <w:color w:val="auto"/>
                <w:sz w:val="24"/>
                <w:szCs w:val="24"/>
                <w:highlight w:val="none"/>
              </w:rPr>
            </w:pPr>
          </w:p>
          <w:p>
            <w:pPr>
              <w:widowControl/>
              <w:ind w:firstLine="48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采购代理机构名称：</w:t>
            </w:r>
            <w:r>
              <w:rPr>
                <w:rFonts w:hint="eastAsia" w:ascii="仿宋" w:hAnsi="仿宋" w:eastAsia="仿宋" w:cs="仿宋"/>
                <w:bCs/>
                <w:color w:val="auto"/>
                <w:sz w:val="24"/>
                <w:szCs w:val="24"/>
                <w:highlight w:val="none"/>
                <w:lang w:eastAsia="zh-CN"/>
              </w:rPr>
              <w:t>江苏通汇工程管理咨询有限公司</w:t>
            </w:r>
          </w:p>
          <w:p>
            <w:pPr>
              <w:widowControl/>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代理机构统一社会信用代码：91320211053502637B</w:t>
            </w:r>
          </w:p>
          <w:p>
            <w:pPr>
              <w:widowControl/>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代理机构联系人：</w:t>
            </w:r>
            <w:r>
              <w:rPr>
                <w:rFonts w:hint="eastAsia" w:ascii="仿宋" w:hAnsi="仿宋" w:eastAsia="仿宋" w:cs="仿宋"/>
                <w:bCs/>
                <w:color w:val="auto"/>
                <w:sz w:val="24"/>
                <w:szCs w:val="24"/>
                <w:highlight w:val="none"/>
                <w:lang w:val="en-US" w:eastAsia="zh-CN"/>
              </w:rPr>
              <w:t>刘工</w:t>
            </w:r>
          </w:p>
          <w:p>
            <w:pPr>
              <w:widowControl/>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联系电话：</w:t>
            </w:r>
            <w:r>
              <w:rPr>
                <w:rFonts w:hint="eastAsia" w:ascii="仿宋" w:hAnsi="仿宋" w:eastAsia="仿宋" w:cs="仿宋"/>
                <w:bCs/>
                <w:color w:val="auto"/>
                <w:sz w:val="24"/>
                <w:szCs w:val="24"/>
                <w:highlight w:val="none"/>
                <w:lang w:val="en-US" w:eastAsia="zh-CN"/>
              </w:rPr>
              <w:t xml:space="preserve">13795302607 </w:t>
            </w:r>
          </w:p>
          <w:p>
            <w:pPr>
              <w:widowControl/>
              <w:ind w:firstLine="48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联系地址：</w:t>
            </w:r>
            <w:r>
              <w:rPr>
                <w:rFonts w:hint="eastAsia" w:ascii="仿宋" w:hAnsi="仿宋" w:eastAsia="仿宋" w:cs="仿宋"/>
                <w:bCs/>
                <w:color w:val="auto"/>
                <w:sz w:val="24"/>
                <w:szCs w:val="24"/>
                <w:highlight w:val="none"/>
                <w:lang w:eastAsia="zh-CN"/>
              </w:rPr>
              <w:t>无锡市锡山区万马商业广场59-102</w:t>
            </w:r>
          </w:p>
          <w:p>
            <w:pPr>
              <w:widowControl/>
              <w:spacing w:line="400" w:lineRule="exact"/>
              <w:ind w:firstLine="480"/>
              <w:jc w:val="left"/>
              <w:rPr>
                <w:rFonts w:hint="eastAsia" w:ascii="仿宋" w:hAnsi="仿宋" w:eastAsia="仿宋" w:cs="仿宋"/>
                <w:color w:val="auto"/>
                <w:sz w:val="24"/>
                <w:highlight w:val="none"/>
              </w:rPr>
            </w:pPr>
          </w:p>
        </w:tc>
      </w:tr>
    </w:tbl>
    <w:p>
      <w:pPr>
        <w:spacing w:line="300" w:lineRule="auto"/>
        <w:ind w:firstLine="2209"/>
        <w:outlineLvl w:val="0"/>
        <w:rPr>
          <w:rFonts w:hint="eastAsia" w:ascii="仿宋" w:hAnsi="仿宋" w:eastAsia="仿宋" w:cs="仿宋"/>
          <w:b/>
          <w:bCs/>
          <w:color w:val="auto"/>
          <w:sz w:val="44"/>
          <w:szCs w:val="44"/>
          <w:highlight w:val="none"/>
        </w:rPr>
      </w:pPr>
    </w:p>
    <w:p>
      <w:pPr>
        <w:spacing w:line="300" w:lineRule="auto"/>
        <w:outlineLvl w:val="0"/>
        <w:rPr>
          <w:rFonts w:hint="eastAsia" w:ascii="仿宋" w:hAnsi="仿宋" w:eastAsia="仿宋" w:cs="仿宋"/>
          <w:b/>
          <w:bCs/>
          <w:color w:val="auto"/>
          <w:sz w:val="44"/>
          <w:szCs w:val="44"/>
          <w:highlight w:val="none"/>
        </w:rPr>
      </w:pPr>
    </w:p>
    <w:p>
      <w:pPr>
        <w:spacing w:line="300" w:lineRule="auto"/>
        <w:ind w:firstLine="2209"/>
        <w:outlineLvl w:val="0"/>
        <w:rPr>
          <w:rFonts w:hint="eastAsia" w:ascii="仿宋" w:hAnsi="仿宋" w:eastAsia="仿宋" w:cs="仿宋"/>
          <w:b/>
          <w:bCs/>
          <w:color w:val="auto"/>
          <w:sz w:val="44"/>
          <w:szCs w:val="44"/>
          <w:highlight w:val="none"/>
        </w:rPr>
      </w:pPr>
    </w:p>
    <w:p>
      <w:pPr>
        <w:spacing w:line="300" w:lineRule="auto"/>
        <w:ind w:firstLine="2209"/>
        <w:outlineLvl w:val="0"/>
        <w:rPr>
          <w:rFonts w:hint="eastAsia" w:ascii="仿宋" w:hAnsi="仿宋" w:eastAsia="仿宋" w:cs="仿宋"/>
          <w:b/>
          <w:bCs/>
          <w:color w:val="auto"/>
          <w:sz w:val="44"/>
          <w:szCs w:val="44"/>
          <w:highlight w:val="none"/>
        </w:rPr>
      </w:pPr>
    </w:p>
    <w:p>
      <w:pPr>
        <w:spacing w:line="300" w:lineRule="auto"/>
        <w:ind w:firstLine="2209"/>
        <w:outlineLvl w:val="0"/>
        <w:rPr>
          <w:rFonts w:hint="eastAsia" w:ascii="仿宋" w:hAnsi="仿宋" w:eastAsia="仿宋" w:cs="仿宋"/>
          <w:b/>
          <w:bCs/>
          <w:color w:val="auto"/>
          <w:sz w:val="48"/>
          <w:szCs w:val="48"/>
          <w:highlight w:val="none"/>
        </w:rPr>
      </w:pPr>
      <w:r>
        <w:rPr>
          <w:rFonts w:hint="eastAsia" w:ascii="仿宋" w:hAnsi="仿宋" w:eastAsia="仿宋" w:cs="仿宋"/>
          <w:b/>
          <w:bCs/>
          <w:color w:val="auto"/>
          <w:sz w:val="44"/>
          <w:szCs w:val="44"/>
          <w:highlight w:val="none"/>
        </w:rPr>
        <w:t>第二部分 投标供应商须知</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（一）遵循原则：</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公开透明原则、公平竞争原则、公正原则和诚实信用原则。</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（二）招标文件：</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1.</w:t>
      </w:r>
      <w:r>
        <w:rPr>
          <w:rFonts w:hint="eastAsia" w:ascii="仿宋" w:hAnsi="仿宋" w:eastAsia="仿宋" w:cs="仿宋"/>
          <w:bCs/>
          <w:color w:val="auto"/>
          <w:sz w:val="24"/>
          <w:szCs w:val="24"/>
          <w:highlight w:val="none"/>
        </w:rPr>
        <w:t>招标文件包括本文件目录所列全部内容，投标人应仔细阅读，并在投标文件中充分响应招标文件的所有要求。</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投标供应商应在江苏政府采购网 （http://www.ccgp-jiangsu.gov.cn//）登录“苏采云”系统（http://jszfcg.jsczt.cn/）下载招标文件及有关资料，按要求制作、上传投标文件，对招标文件各项内容做出实质性响应，否则投标无效。</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3.采购文件中的“法定代表人”是指投标供应商的营业执照的“法定代表人”或相关部门的登记证明文件中的“负责人”。</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4.采购文件仅作为本次招投标使用。</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（三）招标文件的解释：</w:t>
      </w:r>
    </w:p>
    <w:p>
      <w:pPr>
        <w:tabs>
          <w:tab w:val="left" w:pos="1050"/>
          <w:tab w:val="left" w:pos="1260"/>
        </w:tabs>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1.</w:t>
      </w:r>
      <w:r>
        <w:rPr>
          <w:rFonts w:hint="eastAsia" w:ascii="仿宋" w:hAnsi="仿宋" w:eastAsia="仿宋" w:cs="仿宋"/>
          <w:bCs/>
          <w:color w:val="auto"/>
          <w:sz w:val="24"/>
          <w:szCs w:val="24"/>
          <w:highlight w:val="none"/>
        </w:rPr>
        <w:t>投标供应商如有需要对招标文件要求澄清的问题，请以书面或电子邮件方式提出，必须加盖投标供应商公章，并按“投标邀请”规定的时间以书面形式或电子邮件形式发送至</w:t>
      </w:r>
      <w:r>
        <w:rPr>
          <w:rFonts w:hint="eastAsia" w:ascii="仿宋" w:hAnsi="仿宋" w:eastAsia="仿宋" w:cs="仿宋"/>
          <w:bCs/>
          <w:color w:val="auto"/>
          <w:sz w:val="24"/>
          <w:szCs w:val="24"/>
          <w:highlight w:val="none"/>
          <w:lang w:eastAsia="zh-CN"/>
        </w:rPr>
        <w:t>江苏通汇工程管理咨询有限公司</w:t>
      </w:r>
      <w:r>
        <w:rPr>
          <w:rFonts w:hint="eastAsia" w:ascii="仿宋" w:hAnsi="仿宋" w:eastAsia="仿宋" w:cs="仿宋"/>
          <w:bCs/>
          <w:color w:val="auto"/>
          <w:sz w:val="24"/>
          <w:szCs w:val="24"/>
          <w:highlight w:val="none"/>
        </w:rPr>
        <w:t>，联系方式详见“投标邀请”。</w:t>
      </w:r>
    </w:p>
    <w:p>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采购人、</w:t>
      </w:r>
      <w:r>
        <w:rPr>
          <w:rFonts w:hint="eastAsia" w:ascii="仿宋" w:hAnsi="仿宋" w:eastAsia="仿宋" w:cs="仿宋"/>
          <w:color w:val="auto"/>
          <w:sz w:val="24"/>
          <w:highlight w:val="none"/>
          <w:lang w:eastAsia="zh-CN"/>
        </w:rPr>
        <w:t>江苏通汇工程管理咨询有限公司</w:t>
      </w:r>
      <w:r>
        <w:rPr>
          <w:rFonts w:hint="eastAsia" w:ascii="仿宋" w:hAnsi="仿宋" w:eastAsia="仿宋" w:cs="仿宋"/>
          <w:color w:val="auto"/>
          <w:sz w:val="24"/>
          <w:highlight w:val="none"/>
        </w:rPr>
        <w:t>将按“投标邀请”规定的时间对投标供应商针对招标文件提出的要求澄清的问题进行答疑。</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3.本文件的最终解释权归</w:t>
      </w:r>
      <w:r>
        <w:rPr>
          <w:rFonts w:hint="eastAsia" w:ascii="仿宋" w:hAnsi="仿宋" w:eastAsia="仿宋" w:cs="仿宋"/>
          <w:bCs/>
          <w:color w:val="auto"/>
          <w:sz w:val="24"/>
          <w:highlight w:val="none"/>
        </w:rPr>
        <w:t>采购人</w:t>
      </w:r>
      <w:r>
        <w:rPr>
          <w:rFonts w:hint="eastAsia" w:ascii="仿宋" w:hAnsi="仿宋" w:eastAsia="仿宋" w:cs="仿宋"/>
          <w:bCs/>
          <w:color w:val="auto"/>
          <w:sz w:val="24"/>
          <w:szCs w:val="24"/>
          <w:highlight w:val="none"/>
        </w:rPr>
        <w:t>。</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（四）招标文件的补充或修正： </w:t>
      </w:r>
    </w:p>
    <w:p>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1.采购人或者采购代理机构可在投标截止时间15日前对招标文件进行必要的澄清或者修改，不足15日的，将顺延提交投标文件的截止时间。</w:t>
      </w:r>
    </w:p>
    <w:p>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bookmarkStart w:id="3" w:name="_Hlk211177950"/>
      <w:r>
        <w:rPr>
          <w:rFonts w:hint="eastAsia" w:ascii="仿宋" w:hAnsi="仿宋" w:eastAsia="仿宋" w:cs="仿宋"/>
          <w:color w:val="auto"/>
          <w:sz w:val="24"/>
          <w:highlight w:val="none"/>
        </w:rPr>
        <w:t>如需对招标文件进行澄清或者修改，澄清或者修改应当在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w:t>
      </w:r>
      <w:r>
        <w:rPr>
          <w:rFonts w:hint="eastAsia" w:ascii="仿宋" w:hAnsi="仿宋" w:eastAsia="仿宋" w:cs="仿宋"/>
          <w:color w:val="auto"/>
          <w:sz w:val="24"/>
          <w:highlight w:val="none"/>
          <w:lang w:eastAsia="zh-CN"/>
        </w:rPr>
        <w:t>全面</w:t>
      </w:r>
      <w:r>
        <w:rPr>
          <w:rFonts w:hint="eastAsia" w:ascii="仿宋" w:hAnsi="仿宋" w:eastAsia="仿宋" w:cs="仿宋"/>
          <w:color w:val="auto"/>
          <w:sz w:val="24"/>
          <w:highlight w:val="none"/>
        </w:rPr>
        <w:t>关注更正公告导致其提交的投标材料不符合要求，而造成的损失及风险（包括但不限于未中标）由投标供应商自行承担。</w:t>
      </w:r>
      <w:bookmarkEnd w:id="3"/>
    </w:p>
    <w:p>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采购文件的，还需提交获取文件回执函。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p>
    <w:p>
      <w:pPr>
        <w:spacing w:line="360" w:lineRule="auto"/>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w:t>
      </w:r>
      <w:r>
        <w:rPr>
          <w:rFonts w:hint="eastAsia" w:ascii="仿宋" w:hAnsi="仿宋" w:eastAsia="仿宋" w:cs="仿宋"/>
          <w:b/>
          <w:bCs/>
          <w:color w:val="auto"/>
          <w:sz w:val="24"/>
          <w:szCs w:val="24"/>
          <w:highlight w:val="none"/>
          <w:lang w:val="en-US" w:eastAsia="zh-CN"/>
        </w:rPr>
        <w:t>各标段</w:t>
      </w:r>
      <w:r>
        <w:rPr>
          <w:rFonts w:hint="eastAsia" w:ascii="仿宋" w:hAnsi="仿宋" w:eastAsia="仿宋" w:cs="仿宋"/>
          <w:b/>
          <w:bCs/>
          <w:color w:val="auto"/>
          <w:sz w:val="24"/>
          <w:szCs w:val="24"/>
          <w:highlight w:val="none"/>
        </w:rPr>
        <w:t>投标文件的组成：（相应内容上传至投标客户端）</w:t>
      </w:r>
    </w:p>
    <w:p>
      <w:pPr>
        <w:spacing w:line="360" w:lineRule="auto"/>
        <w:ind w:firstLine="424"/>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投标文件分为明标和暗标两部分，明标包括证明文件、响应函和报价文件，暗标为技术文件。</w:t>
      </w:r>
    </w:p>
    <w:p>
      <w:pPr>
        <w:spacing w:line="360" w:lineRule="auto"/>
        <w:ind w:firstLine="48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明标部分：</w:t>
      </w:r>
    </w:p>
    <w:p>
      <w:pPr>
        <w:spacing w:line="360" w:lineRule="auto"/>
        <w:ind w:left="48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1.证明文件部分：</w:t>
      </w:r>
    </w:p>
    <w:p>
      <w:pPr>
        <w:spacing w:line="360" w:lineRule="auto"/>
        <w:ind w:left="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1.1资格、资信证明文件</w:t>
      </w:r>
    </w:p>
    <w:p>
      <w:pPr>
        <w:numPr>
          <w:ilvl w:val="1"/>
          <w:numId w:val="26"/>
        </w:numPr>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rPr>
        <w:t>关于资格的声明函；</w:t>
      </w:r>
      <w:bookmarkStart w:id="4" w:name="_Hlk211178030"/>
      <w:r>
        <w:rPr>
          <w:rFonts w:hint="eastAsia" w:ascii="仿宋" w:hAnsi="仿宋" w:eastAsia="仿宋" w:cs="仿宋"/>
          <w:b/>
          <w:color w:val="auto"/>
          <w:sz w:val="24"/>
          <w:szCs w:val="24"/>
          <w:highlight w:val="none"/>
          <w:lang w:val="zh-CN"/>
        </w:rPr>
        <w:t>（格式见附件，原件扫描</w:t>
      </w:r>
      <w:bookmarkStart w:id="5" w:name="_Hlk210938876"/>
      <w:r>
        <w:rPr>
          <w:rFonts w:hint="eastAsia" w:ascii="仿宋" w:hAnsi="仿宋" w:eastAsia="仿宋" w:cs="仿宋"/>
          <w:b/>
          <w:color w:val="auto"/>
          <w:sz w:val="24"/>
          <w:szCs w:val="24"/>
          <w:highlight w:val="none"/>
          <w:lang w:val="zh-CN"/>
        </w:rPr>
        <w:t>上传投标系统</w:t>
      </w:r>
      <w:bookmarkEnd w:id="5"/>
      <w:r>
        <w:rPr>
          <w:rFonts w:hint="eastAsia" w:ascii="仿宋" w:hAnsi="仿宋" w:eastAsia="仿宋" w:cs="仿宋"/>
          <w:b/>
          <w:color w:val="auto"/>
          <w:sz w:val="24"/>
          <w:szCs w:val="24"/>
          <w:highlight w:val="none"/>
          <w:lang w:val="zh-CN"/>
        </w:rPr>
        <w:t>）</w:t>
      </w:r>
      <w:bookmarkEnd w:id="4"/>
    </w:p>
    <w:p>
      <w:pPr>
        <w:numPr>
          <w:ilvl w:val="1"/>
          <w:numId w:val="26"/>
        </w:numPr>
        <w:tabs>
          <w:tab w:val="left" w:pos="0"/>
          <w:tab w:val="left" w:pos="360"/>
          <w:tab w:val="left" w:pos="420"/>
          <w:tab w:val="left" w:pos="704"/>
          <w:tab w:val="left" w:pos="745"/>
        </w:tabs>
        <w:spacing w:line="360" w:lineRule="auto"/>
        <w:ind w:left="10" w:firstLine="4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投标供应商有效的营业执照或经相关部门登记的证明文件；</w:t>
      </w:r>
      <w:r>
        <w:rPr>
          <w:rFonts w:hint="eastAsia" w:ascii="仿宋" w:hAnsi="仿宋" w:eastAsia="仿宋" w:cs="仿宋"/>
          <w:b/>
          <w:color w:val="auto"/>
          <w:sz w:val="24"/>
          <w:szCs w:val="24"/>
          <w:highlight w:val="none"/>
          <w:lang w:val="zh-CN"/>
        </w:rPr>
        <w:t>（原件扫描件</w:t>
      </w:r>
      <w:r>
        <w:rPr>
          <w:rFonts w:hint="eastAsia" w:ascii="仿宋" w:hAnsi="仿宋" w:eastAsia="仿宋" w:cs="仿宋"/>
          <w:b/>
          <w:color w:val="auto"/>
          <w:sz w:val="24"/>
          <w:szCs w:val="24"/>
          <w:highlight w:val="none"/>
        </w:rPr>
        <w:t>加盖</w:t>
      </w:r>
      <w:bookmarkStart w:id="6" w:name="_Hlk201782748"/>
      <w:r>
        <w:rPr>
          <w:rFonts w:hint="eastAsia" w:ascii="仿宋" w:hAnsi="仿宋" w:eastAsia="仿宋" w:cs="仿宋"/>
          <w:b/>
          <w:color w:val="auto"/>
          <w:sz w:val="24"/>
          <w:szCs w:val="24"/>
          <w:highlight w:val="none"/>
        </w:rPr>
        <w:t>供应商</w:t>
      </w:r>
      <w:bookmarkEnd w:id="6"/>
      <w:r>
        <w:rPr>
          <w:rFonts w:hint="eastAsia" w:ascii="仿宋" w:hAnsi="仿宋" w:eastAsia="仿宋" w:cs="仿宋"/>
          <w:b/>
          <w:color w:val="auto"/>
          <w:sz w:val="24"/>
          <w:szCs w:val="24"/>
          <w:highlight w:val="none"/>
        </w:rPr>
        <w:t>公章</w:t>
      </w:r>
      <w:bookmarkStart w:id="7" w:name="_Hlk211178162"/>
      <w:r>
        <w:rPr>
          <w:rFonts w:hint="eastAsia" w:ascii="仿宋" w:hAnsi="仿宋" w:eastAsia="仿宋" w:cs="仿宋"/>
          <w:b/>
          <w:color w:val="auto"/>
          <w:sz w:val="24"/>
          <w:szCs w:val="24"/>
          <w:highlight w:val="none"/>
        </w:rPr>
        <w:t>上传投标系统</w:t>
      </w:r>
      <w:bookmarkEnd w:id="7"/>
      <w:r>
        <w:rPr>
          <w:rFonts w:hint="eastAsia" w:ascii="仿宋" w:hAnsi="仿宋" w:eastAsia="仿宋" w:cs="仿宋"/>
          <w:b/>
          <w:color w:val="auto"/>
          <w:sz w:val="24"/>
          <w:szCs w:val="24"/>
          <w:highlight w:val="none"/>
          <w:lang w:val="zh-CN"/>
        </w:rPr>
        <w:t>）</w:t>
      </w:r>
    </w:p>
    <w:p>
      <w:pPr>
        <w:numPr>
          <w:ilvl w:val="1"/>
          <w:numId w:val="26"/>
        </w:numPr>
        <w:tabs>
          <w:tab w:val="left" w:pos="0"/>
          <w:tab w:val="left" w:pos="360"/>
          <w:tab w:val="left" w:pos="420"/>
          <w:tab w:val="left" w:pos="704"/>
          <w:tab w:val="left" w:pos="745"/>
        </w:tabs>
        <w:spacing w:line="360" w:lineRule="auto"/>
        <w:ind w:left="10" w:firstLine="4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投标供应商近三个月中任意一个月份（不含投标当月） 有效的财务状况报告（资产负债表和利润表）或由会计师事务所出具的2024年度的财务审计报告和所附已</w:t>
      </w:r>
      <w:r>
        <w:rPr>
          <w:rFonts w:hint="eastAsia" w:ascii="仿宋" w:hAnsi="仿宋" w:eastAsia="仿宋" w:cs="仿宋"/>
          <w:color w:val="auto"/>
          <w:sz w:val="24"/>
          <w:szCs w:val="24"/>
          <w:highlight w:val="none"/>
          <w:lang w:eastAsia="zh-CN"/>
        </w:rPr>
        <w:t>审计</w:t>
      </w:r>
      <w:r>
        <w:rPr>
          <w:rFonts w:hint="eastAsia" w:ascii="仿宋" w:hAnsi="仿宋" w:eastAsia="仿宋" w:cs="仿宋"/>
          <w:color w:val="auto"/>
          <w:sz w:val="24"/>
          <w:szCs w:val="24"/>
          <w:highlight w:val="none"/>
        </w:rPr>
        <w:t>财务报告；</w:t>
      </w:r>
      <w:r>
        <w:rPr>
          <w:rFonts w:hint="eastAsia" w:ascii="仿宋" w:hAnsi="仿宋" w:eastAsia="仿宋" w:cs="仿宋"/>
          <w:b/>
          <w:color w:val="auto"/>
          <w:sz w:val="24"/>
          <w:szCs w:val="24"/>
          <w:highlight w:val="none"/>
          <w:lang w:val="zh-CN"/>
        </w:rPr>
        <w:t>（原件扫描件</w:t>
      </w:r>
      <w:r>
        <w:rPr>
          <w:rFonts w:hint="eastAsia" w:ascii="仿宋" w:hAnsi="仿宋" w:eastAsia="仿宋" w:cs="仿宋"/>
          <w:b/>
          <w:color w:val="auto"/>
          <w:sz w:val="24"/>
          <w:szCs w:val="24"/>
          <w:highlight w:val="none"/>
        </w:rPr>
        <w:t>加盖供应商公章上传投标系统</w:t>
      </w:r>
      <w:r>
        <w:rPr>
          <w:rFonts w:hint="eastAsia" w:ascii="仿宋" w:hAnsi="仿宋" w:eastAsia="仿宋" w:cs="仿宋"/>
          <w:b/>
          <w:color w:val="auto"/>
          <w:sz w:val="24"/>
          <w:szCs w:val="24"/>
          <w:highlight w:val="none"/>
          <w:lang w:val="zh-CN"/>
        </w:rPr>
        <w:t>）</w:t>
      </w:r>
    </w:p>
    <w:p>
      <w:pPr>
        <w:numPr>
          <w:ilvl w:val="1"/>
          <w:numId w:val="26"/>
        </w:numPr>
        <w:tabs>
          <w:tab w:val="left" w:pos="0"/>
          <w:tab w:val="left" w:pos="360"/>
          <w:tab w:val="left" w:pos="420"/>
          <w:tab w:val="left" w:pos="704"/>
          <w:tab w:val="left" w:pos="745"/>
        </w:tabs>
        <w:spacing w:line="360" w:lineRule="auto"/>
        <w:ind w:left="10" w:firstLine="4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投标供应商近三个月中任意一个月份（不含投标当月）的依法缴纳税收的相关材料（提供相关主管部门证明或银行代扣证明）；</w:t>
      </w:r>
      <w:r>
        <w:rPr>
          <w:rFonts w:hint="eastAsia" w:ascii="仿宋" w:hAnsi="仿宋" w:eastAsia="仿宋" w:cs="仿宋"/>
          <w:b/>
          <w:color w:val="auto"/>
          <w:sz w:val="24"/>
          <w:szCs w:val="24"/>
          <w:highlight w:val="none"/>
          <w:lang w:val="zh-CN"/>
        </w:rPr>
        <w:t>（原件扫描件</w:t>
      </w:r>
      <w:r>
        <w:rPr>
          <w:rFonts w:hint="eastAsia" w:ascii="仿宋" w:hAnsi="仿宋" w:eastAsia="仿宋" w:cs="仿宋"/>
          <w:b/>
          <w:color w:val="auto"/>
          <w:sz w:val="24"/>
          <w:szCs w:val="24"/>
          <w:highlight w:val="none"/>
        </w:rPr>
        <w:t>加盖供应商公章</w:t>
      </w:r>
      <w:bookmarkStart w:id="8" w:name="_Hlk211178939"/>
      <w:r>
        <w:rPr>
          <w:rFonts w:hint="eastAsia" w:ascii="仿宋" w:hAnsi="仿宋" w:eastAsia="仿宋" w:cs="仿宋"/>
          <w:b/>
          <w:color w:val="auto"/>
          <w:sz w:val="24"/>
          <w:szCs w:val="24"/>
          <w:highlight w:val="none"/>
        </w:rPr>
        <w:t>上传投标系统</w:t>
      </w:r>
      <w:bookmarkEnd w:id="8"/>
      <w:r>
        <w:rPr>
          <w:rFonts w:hint="eastAsia" w:ascii="仿宋" w:hAnsi="仿宋" w:eastAsia="仿宋" w:cs="仿宋"/>
          <w:b/>
          <w:color w:val="auto"/>
          <w:sz w:val="24"/>
          <w:szCs w:val="24"/>
          <w:highlight w:val="none"/>
          <w:lang w:val="zh-CN"/>
        </w:rPr>
        <w:t>）</w:t>
      </w:r>
    </w:p>
    <w:p>
      <w:pPr>
        <w:numPr>
          <w:ilvl w:val="1"/>
          <w:numId w:val="26"/>
        </w:numPr>
        <w:tabs>
          <w:tab w:val="left" w:pos="0"/>
          <w:tab w:val="left" w:pos="360"/>
          <w:tab w:val="left" w:pos="420"/>
          <w:tab w:val="left" w:pos="704"/>
          <w:tab w:val="left" w:pos="745"/>
        </w:tabs>
        <w:spacing w:line="360" w:lineRule="auto"/>
        <w:ind w:left="10" w:firstLine="4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投标供应商近三个月中任意一个月份（不含投标当月）的依法缴纳社会保障资金的相关材料（提供相关主管部门证明或银行代扣证明）；</w:t>
      </w:r>
      <w:r>
        <w:rPr>
          <w:rFonts w:hint="eastAsia" w:ascii="仿宋" w:hAnsi="仿宋" w:eastAsia="仿宋" w:cs="仿宋"/>
          <w:b/>
          <w:color w:val="auto"/>
          <w:sz w:val="24"/>
          <w:szCs w:val="24"/>
          <w:highlight w:val="none"/>
          <w:lang w:val="zh-CN"/>
        </w:rPr>
        <w:t>（原件扫描件</w:t>
      </w:r>
      <w:r>
        <w:rPr>
          <w:rFonts w:hint="eastAsia" w:ascii="仿宋" w:hAnsi="仿宋" w:eastAsia="仿宋" w:cs="仿宋"/>
          <w:b/>
          <w:color w:val="auto"/>
          <w:sz w:val="24"/>
          <w:szCs w:val="24"/>
          <w:highlight w:val="none"/>
        </w:rPr>
        <w:t>加盖供应商公章上传投标系统</w:t>
      </w:r>
      <w:r>
        <w:rPr>
          <w:rFonts w:hint="eastAsia" w:ascii="仿宋" w:hAnsi="仿宋" w:eastAsia="仿宋" w:cs="仿宋"/>
          <w:b/>
          <w:color w:val="auto"/>
          <w:sz w:val="24"/>
          <w:szCs w:val="24"/>
          <w:highlight w:val="none"/>
          <w:lang w:val="zh-CN"/>
        </w:rPr>
        <w:t>）</w:t>
      </w:r>
    </w:p>
    <w:p>
      <w:pPr>
        <w:numPr>
          <w:ilvl w:val="1"/>
          <w:numId w:val="26"/>
        </w:numPr>
        <w:tabs>
          <w:tab w:val="left" w:pos="0"/>
          <w:tab w:val="left" w:pos="360"/>
          <w:tab w:val="left" w:pos="420"/>
          <w:tab w:val="left" w:pos="704"/>
          <w:tab w:val="left" w:pos="745"/>
        </w:tabs>
        <w:spacing w:line="360" w:lineRule="auto"/>
        <w:ind w:left="10" w:firstLine="4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投标供应商法定代表人授权委托书；</w:t>
      </w:r>
      <w:r>
        <w:rPr>
          <w:rFonts w:hint="eastAsia" w:ascii="仿宋" w:hAnsi="仿宋" w:eastAsia="仿宋" w:cs="仿宋"/>
          <w:b/>
          <w:color w:val="auto"/>
          <w:sz w:val="24"/>
          <w:szCs w:val="24"/>
          <w:highlight w:val="none"/>
          <w:lang w:val="zh-CN"/>
        </w:rPr>
        <w:t>（格</w:t>
      </w:r>
      <w:r>
        <w:rPr>
          <w:rFonts w:hint="eastAsia" w:ascii="仿宋" w:hAnsi="仿宋" w:eastAsia="仿宋" w:cs="仿宋"/>
          <w:b/>
          <w:color w:val="auto"/>
          <w:sz w:val="24"/>
          <w:szCs w:val="24"/>
          <w:highlight w:val="none"/>
        </w:rPr>
        <w:t>式见附件，</w:t>
      </w:r>
      <w:bookmarkStart w:id="9" w:name="_Hlk211178995"/>
      <w:r>
        <w:rPr>
          <w:rFonts w:hint="eastAsia" w:ascii="仿宋" w:hAnsi="仿宋" w:eastAsia="仿宋" w:cs="仿宋"/>
          <w:b/>
          <w:color w:val="auto"/>
          <w:sz w:val="24"/>
          <w:szCs w:val="24"/>
          <w:highlight w:val="none"/>
        </w:rPr>
        <w:t>原件扫描件上传投标系统，</w:t>
      </w:r>
      <w:bookmarkEnd w:id="9"/>
      <w:r>
        <w:rPr>
          <w:rFonts w:hint="eastAsia" w:ascii="仿宋" w:hAnsi="仿宋" w:eastAsia="仿宋" w:cs="仿宋"/>
          <w:b/>
          <w:color w:val="auto"/>
          <w:sz w:val="24"/>
          <w:szCs w:val="24"/>
          <w:highlight w:val="none"/>
        </w:rPr>
        <w:t>如为法定代</w:t>
      </w:r>
      <w:r>
        <w:rPr>
          <w:rFonts w:hint="eastAsia" w:ascii="仿宋" w:hAnsi="仿宋" w:eastAsia="仿宋" w:cs="仿宋"/>
          <w:b/>
          <w:color w:val="auto"/>
          <w:sz w:val="24"/>
          <w:szCs w:val="24"/>
          <w:highlight w:val="none"/>
          <w:lang w:eastAsia="zh-CN"/>
        </w:rPr>
        <w:t>表人</w:t>
      </w:r>
      <w:r>
        <w:rPr>
          <w:rFonts w:hint="eastAsia" w:ascii="仿宋" w:hAnsi="仿宋" w:eastAsia="仿宋" w:cs="仿宋"/>
          <w:b/>
          <w:color w:val="auto"/>
          <w:sz w:val="24"/>
          <w:szCs w:val="24"/>
          <w:highlight w:val="none"/>
        </w:rPr>
        <w:t>亲自参与可不提供）</w:t>
      </w:r>
    </w:p>
    <w:p>
      <w:pPr>
        <w:numPr>
          <w:ilvl w:val="1"/>
          <w:numId w:val="26"/>
        </w:numPr>
        <w:tabs>
          <w:tab w:val="left" w:pos="0"/>
          <w:tab w:val="left" w:pos="360"/>
          <w:tab w:val="left" w:pos="420"/>
          <w:tab w:val="left" w:pos="704"/>
          <w:tab w:val="left" w:pos="745"/>
        </w:tabs>
        <w:spacing w:line="360" w:lineRule="auto"/>
        <w:ind w:left="10" w:firstLine="4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投标供应商法定代表人身份证扫描件及法定代表人授权代表身份证；</w:t>
      </w:r>
      <w:r>
        <w:rPr>
          <w:rFonts w:hint="eastAsia" w:ascii="仿宋" w:hAnsi="仿宋" w:eastAsia="仿宋" w:cs="仿宋"/>
          <w:b/>
          <w:color w:val="auto"/>
          <w:sz w:val="24"/>
          <w:szCs w:val="24"/>
          <w:highlight w:val="none"/>
        </w:rPr>
        <w:t>（原件的</w:t>
      </w:r>
      <w:r>
        <w:rPr>
          <w:rFonts w:hint="eastAsia" w:ascii="仿宋" w:hAnsi="仿宋" w:eastAsia="仿宋" w:cs="仿宋"/>
          <w:b/>
          <w:bCs/>
          <w:color w:val="auto"/>
          <w:sz w:val="24"/>
          <w:szCs w:val="24"/>
          <w:highlight w:val="none"/>
        </w:rPr>
        <w:t>正、反双面</w:t>
      </w:r>
      <w:r>
        <w:rPr>
          <w:rFonts w:hint="eastAsia" w:ascii="仿宋" w:hAnsi="仿宋" w:eastAsia="仿宋" w:cs="仿宋"/>
          <w:b/>
          <w:color w:val="auto"/>
          <w:sz w:val="24"/>
          <w:szCs w:val="24"/>
          <w:highlight w:val="none"/>
        </w:rPr>
        <w:t>扫描件加盖供应商公章</w:t>
      </w:r>
      <w:bookmarkStart w:id="10" w:name="_Hlk211179043"/>
      <w:r>
        <w:rPr>
          <w:rFonts w:hint="eastAsia" w:ascii="仿宋" w:hAnsi="仿宋" w:eastAsia="仿宋" w:cs="仿宋"/>
          <w:b/>
          <w:color w:val="auto"/>
          <w:sz w:val="24"/>
          <w:szCs w:val="24"/>
          <w:highlight w:val="none"/>
        </w:rPr>
        <w:t>上传投标系统</w:t>
      </w:r>
      <w:bookmarkEnd w:id="10"/>
      <w:r>
        <w:rPr>
          <w:rFonts w:hint="eastAsia" w:ascii="仿宋" w:hAnsi="仿宋" w:eastAsia="仿宋" w:cs="仿宋"/>
          <w:b/>
          <w:color w:val="auto"/>
          <w:sz w:val="24"/>
          <w:szCs w:val="24"/>
          <w:highlight w:val="none"/>
        </w:rPr>
        <w:t>）</w:t>
      </w:r>
    </w:p>
    <w:p>
      <w:pPr>
        <w:numPr>
          <w:ilvl w:val="1"/>
          <w:numId w:val="26"/>
        </w:numPr>
        <w:tabs>
          <w:tab w:val="left" w:pos="0"/>
          <w:tab w:val="left" w:pos="360"/>
          <w:tab w:val="left" w:pos="420"/>
          <w:tab w:val="left" w:pos="704"/>
          <w:tab w:val="left" w:pos="745"/>
        </w:tabs>
        <w:spacing w:line="360" w:lineRule="auto"/>
        <w:ind w:left="10" w:firstLine="408"/>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授权委托人与投标供应商企业签订的劳动合同、由法定的社保收缴部门出具的最近三个月中任意一个月（不含投标当月）的依法缴纳社会保障资金的相关社保证明材料扫描件加盖公章，社保证明材料是指含有县（区）级及以上社保部门电子签章或带可验证二维码的社会保险证明原件或打印件，</w:t>
      </w:r>
      <w:bookmarkStart w:id="11" w:name="_Hlk211179074"/>
      <w:r>
        <w:rPr>
          <w:rFonts w:hint="eastAsia" w:ascii="仿宋" w:hAnsi="仿宋" w:eastAsia="仿宋" w:cs="仿宋"/>
          <w:color w:val="auto"/>
          <w:sz w:val="24"/>
          <w:szCs w:val="24"/>
          <w:highlight w:val="none"/>
          <w:lang w:val="zh-CN"/>
        </w:rPr>
        <w:t>如投标供应商为新成立企业，则提供自公司成立以来至最近一个月依法缴纳社会保障资金的相关材料；</w:t>
      </w:r>
      <w:bookmarkEnd w:id="11"/>
      <w:r>
        <w:rPr>
          <w:rFonts w:hint="eastAsia" w:ascii="仿宋" w:hAnsi="仿宋" w:eastAsia="仿宋" w:cs="仿宋"/>
          <w:b/>
          <w:color w:val="auto"/>
          <w:sz w:val="24"/>
          <w:szCs w:val="24"/>
          <w:highlight w:val="none"/>
        </w:rPr>
        <w:t>（原件扫描件加盖供应商公章</w:t>
      </w:r>
      <w:bookmarkStart w:id="12" w:name="_Hlk211179089"/>
      <w:r>
        <w:rPr>
          <w:rFonts w:hint="eastAsia" w:ascii="仿宋" w:hAnsi="仿宋" w:eastAsia="仿宋" w:cs="仿宋"/>
          <w:b/>
          <w:color w:val="auto"/>
          <w:sz w:val="24"/>
          <w:szCs w:val="24"/>
          <w:highlight w:val="none"/>
        </w:rPr>
        <w:t>上传投标系统，</w:t>
      </w:r>
      <w:bookmarkEnd w:id="12"/>
      <w:r>
        <w:rPr>
          <w:rFonts w:hint="eastAsia" w:ascii="仿宋" w:hAnsi="仿宋" w:eastAsia="仿宋" w:cs="仿宋"/>
          <w:b/>
          <w:color w:val="auto"/>
          <w:sz w:val="24"/>
          <w:szCs w:val="24"/>
          <w:highlight w:val="none"/>
        </w:rPr>
        <w:t>如为法定代表人可不提供）</w:t>
      </w:r>
    </w:p>
    <w:p>
      <w:pPr>
        <w:numPr>
          <w:ilvl w:val="1"/>
          <w:numId w:val="26"/>
        </w:numPr>
        <w:tabs>
          <w:tab w:val="left" w:pos="0"/>
          <w:tab w:val="left" w:pos="360"/>
          <w:tab w:val="left" w:pos="420"/>
          <w:tab w:val="left" w:pos="704"/>
          <w:tab w:val="left" w:pos="745"/>
        </w:tabs>
        <w:spacing w:line="360" w:lineRule="auto"/>
        <w:ind w:left="10" w:firstLine="408"/>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承诺书一、二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lang w:val="zh-CN"/>
        </w:rPr>
        <w:t>（格式见附件，原件扫描件上传投标系统）</w:t>
      </w:r>
    </w:p>
    <w:p>
      <w:pPr>
        <w:numPr>
          <w:ilvl w:val="1"/>
          <w:numId w:val="26"/>
        </w:numPr>
        <w:tabs>
          <w:tab w:val="left" w:pos="0"/>
          <w:tab w:val="left" w:pos="360"/>
          <w:tab w:val="left" w:pos="420"/>
          <w:tab w:val="left" w:pos="704"/>
          <w:tab w:val="left" w:pos="745"/>
        </w:tabs>
        <w:spacing w:line="360" w:lineRule="auto"/>
        <w:ind w:left="10" w:firstLine="408"/>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中标标段优先顺序承诺函</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（格式见附件，原件扫描件上传投标系统）</w:t>
      </w:r>
    </w:p>
    <w:p>
      <w:pPr>
        <w:numPr>
          <w:ilvl w:val="0"/>
          <w:numId w:val="0"/>
        </w:numPr>
        <w:tabs>
          <w:tab w:val="left" w:pos="0"/>
          <w:tab w:val="left" w:pos="360"/>
          <w:tab w:val="left" w:pos="420"/>
          <w:tab w:val="left" w:pos="704"/>
          <w:tab w:val="left" w:pos="745"/>
        </w:tabs>
        <w:spacing w:line="360" w:lineRule="auto"/>
        <w:ind w:firstLine="482"/>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lang w:val="zh-CN"/>
        </w:rPr>
        <w:t>注</w:t>
      </w:r>
      <w:r>
        <w:rPr>
          <w:rFonts w:hint="eastAsia" w:ascii="仿宋" w:hAnsi="仿宋" w:eastAsia="仿宋" w:cs="仿宋"/>
          <w:bCs/>
          <w:color w:val="auto"/>
          <w:sz w:val="24"/>
          <w:szCs w:val="24"/>
          <w:highlight w:val="none"/>
        </w:rPr>
        <w:t xml:space="preserve">：①投标供应商访问“江苏政府采购网”点击“江苏省政府采购（苏采云平台）”--“用户注册”按钮，进行账号注册并填写申请信息，也可以直接通过苏采云 </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http://jszfcg.jsczt.cn/</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进入注册界面。信息登记表所记录的信息如能相应满足采购文件规定的资格、资信条件的，在本项目评标评审时，可凭信息登记表</w:t>
      </w:r>
      <w:r>
        <w:rPr>
          <w:rFonts w:hint="eastAsia" w:ascii="仿宋" w:hAnsi="仿宋" w:eastAsia="仿宋" w:cs="仿宋"/>
          <w:bCs/>
          <w:color w:val="auto"/>
          <w:sz w:val="24"/>
          <w:szCs w:val="24"/>
          <w:highlight w:val="none"/>
          <w:lang w:eastAsia="zh-CN"/>
        </w:rPr>
        <w:t>免予</w:t>
      </w:r>
      <w:r>
        <w:rPr>
          <w:rFonts w:hint="eastAsia" w:ascii="仿宋" w:hAnsi="仿宋" w:eastAsia="仿宋" w:cs="仿宋"/>
          <w:bCs/>
          <w:color w:val="auto"/>
          <w:sz w:val="24"/>
          <w:szCs w:val="24"/>
          <w:highlight w:val="none"/>
        </w:rPr>
        <w:t>提供相应的资格、资信证明材料的原件或公证件，否则必须按要求提供相应的资格、资信证明材料原件或公证件来予以证明。</w:t>
      </w:r>
    </w:p>
    <w:p>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p>
    <w:p>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③法人的分支机构由于其不能独立承担民事责任，不能以分支机构的身份参加政府采购，只能以法人身份参加。但银行、保险、石油石化、电力、电信等有行业特殊情况的，可</w:t>
      </w:r>
      <w:r>
        <w:rPr>
          <w:rFonts w:hint="eastAsia" w:ascii="仿宋" w:hAnsi="仿宋" w:eastAsia="仿宋" w:cs="仿宋"/>
          <w:bCs/>
          <w:color w:val="auto"/>
          <w:sz w:val="24"/>
          <w:szCs w:val="24"/>
          <w:highlight w:val="none"/>
          <w:lang w:eastAsia="zh-CN"/>
        </w:rPr>
        <w:t>以由</w:t>
      </w:r>
      <w:r>
        <w:rPr>
          <w:rFonts w:hint="eastAsia" w:ascii="仿宋" w:hAnsi="仿宋" w:eastAsia="仿宋" w:cs="仿宋"/>
          <w:bCs/>
          <w:color w:val="auto"/>
          <w:sz w:val="24"/>
          <w:szCs w:val="24"/>
          <w:highlight w:val="none"/>
        </w:rPr>
        <w:t>分支机构参加项目采购和签订合同。</w:t>
      </w:r>
    </w:p>
    <w:p>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w:t>
      </w:r>
      <w:r>
        <w:rPr>
          <w:rFonts w:hint="eastAsia" w:ascii="仿宋" w:hAnsi="仿宋" w:eastAsia="仿宋" w:cs="仿宋"/>
          <w:bCs/>
          <w:color w:val="auto"/>
          <w:sz w:val="24"/>
          <w:szCs w:val="24"/>
          <w:highlight w:val="none"/>
          <w:lang w:eastAsia="zh-CN"/>
        </w:rPr>
        <w:t>可以</w:t>
      </w:r>
      <w:r>
        <w:rPr>
          <w:rFonts w:hint="eastAsia" w:ascii="仿宋" w:hAnsi="仿宋" w:eastAsia="仿宋" w:cs="仿宋"/>
          <w:bCs/>
          <w:color w:val="auto"/>
          <w:sz w:val="24"/>
          <w:szCs w:val="24"/>
          <w:highlight w:val="none"/>
        </w:rPr>
        <w:t>在中国大陆有效居留的许可证明。</w:t>
      </w:r>
    </w:p>
    <w:p>
      <w:pPr>
        <w:tabs>
          <w:tab w:val="left" w:pos="1365"/>
        </w:tabs>
        <w:spacing w:line="360" w:lineRule="auto"/>
        <w:ind w:firstLine="482"/>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1.2补充证明文件：</w:t>
      </w:r>
    </w:p>
    <w:p>
      <w:pPr>
        <w:tabs>
          <w:tab w:val="left" w:pos="0"/>
        </w:tabs>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（1）投标供应商情况说明表；（格式见附件）</w:t>
      </w:r>
    </w:p>
    <w:p>
      <w:pPr>
        <w:tabs>
          <w:tab w:val="left" w:pos="0"/>
        </w:tabs>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）人员配置表及拟派项目负责人简历表；（格式见附件）</w:t>
      </w:r>
    </w:p>
    <w:p>
      <w:pPr>
        <w:tabs>
          <w:tab w:val="left" w:pos="0"/>
        </w:tabs>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）投标供应商认为必须提供的其他证明材料。</w:t>
      </w:r>
    </w:p>
    <w:p>
      <w:pPr>
        <w:spacing w:line="360" w:lineRule="auto"/>
        <w:ind w:firstLine="48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2.</w:t>
      </w:r>
      <w:r>
        <w:rPr>
          <w:rFonts w:hint="eastAsia" w:ascii="仿宋" w:hAnsi="仿宋" w:eastAsia="仿宋" w:cs="仿宋"/>
          <w:b/>
          <w:color w:val="auto"/>
          <w:sz w:val="24"/>
          <w:szCs w:val="24"/>
          <w:highlight w:val="none"/>
        </w:rPr>
        <w:t>响应</w:t>
      </w:r>
      <w:r>
        <w:rPr>
          <w:rFonts w:hint="eastAsia" w:ascii="仿宋" w:hAnsi="仿宋" w:eastAsia="仿宋" w:cs="仿宋"/>
          <w:b/>
          <w:color w:val="auto"/>
          <w:sz w:val="24"/>
          <w:highlight w:val="none"/>
        </w:rPr>
        <w:t>函部分（格式见附件）：</w:t>
      </w:r>
    </w:p>
    <w:p>
      <w:pPr>
        <w:widowControl/>
        <w:numPr>
          <w:ilvl w:val="0"/>
          <w:numId w:val="0"/>
        </w:numPr>
        <w:spacing w:line="360" w:lineRule="auto"/>
        <w:ind w:left="420" w:firstLine="6"/>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函；</w:t>
      </w:r>
    </w:p>
    <w:p>
      <w:pPr>
        <w:widowControl/>
        <w:numPr>
          <w:ilvl w:val="0"/>
          <w:numId w:val="0"/>
        </w:numPr>
        <w:spacing w:line="360" w:lineRule="auto"/>
        <w:ind w:left="420" w:firstLine="6"/>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sz w:val="24"/>
          <w:szCs w:val="24"/>
          <w:highlight w:val="none"/>
        </w:rPr>
        <w:t>开标一览表；</w:t>
      </w:r>
    </w:p>
    <w:p>
      <w:pPr>
        <w:widowControl/>
        <w:numPr>
          <w:ilvl w:val="0"/>
          <w:numId w:val="0"/>
        </w:numPr>
        <w:spacing w:line="360" w:lineRule="auto"/>
        <w:ind w:left="420" w:firstLine="6"/>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rPr>
        <w:t>报价明细表（格式见附件）；</w:t>
      </w:r>
    </w:p>
    <w:p>
      <w:pPr>
        <w:widowControl/>
        <w:numPr>
          <w:ilvl w:val="0"/>
          <w:numId w:val="0"/>
        </w:numPr>
        <w:spacing w:line="360" w:lineRule="auto"/>
        <w:ind w:left="420" w:firstLine="6"/>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（4）服务保障承诺书</w:t>
      </w:r>
      <w:r>
        <w:rPr>
          <w:rFonts w:hint="eastAsia" w:ascii="仿宋" w:hAnsi="仿宋" w:eastAsia="仿宋" w:cs="仿宋"/>
          <w:color w:val="auto"/>
          <w:sz w:val="24"/>
          <w:szCs w:val="24"/>
          <w:highlight w:val="none"/>
        </w:rPr>
        <w:t>（格式见附件）；</w:t>
      </w:r>
    </w:p>
    <w:p>
      <w:pPr>
        <w:widowControl/>
        <w:numPr>
          <w:ilvl w:val="0"/>
          <w:numId w:val="0"/>
        </w:numPr>
        <w:spacing w:line="360" w:lineRule="auto"/>
        <w:ind w:left="420" w:firstLine="6"/>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（5）</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偏离表（格式见附件）；</w:t>
      </w:r>
    </w:p>
    <w:p>
      <w:pPr>
        <w:spacing w:line="360" w:lineRule="auto"/>
        <w:ind w:firstLine="48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暗标部分：</w:t>
      </w:r>
    </w:p>
    <w:p>
      <w:pPr>
        <w:shd w:val="clear" w:color="auto" w:fill="auto"/>
        <w:spacing w:line="360" w:lineRule="auto"/>
        <w:ind w:firstLine="480"/>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3.</w:t>
      </w:r>
      <w:r>
        <w:rPr>
          <w:rFonts w:hint="eastAsia" w:ascii="仿宋" w:hAnsi="仿宋" w:eastAsia="仿宋" w:cs="仿宋"/>
          <w:b/>
          <w:color w:val="auto"/>
          <w:sz w:val="24"/>
          <w:szCs w:val="24"/>
          <w:highlight w:val="none"/>
          <w:lang w:val="en-US" w:eastAsia="zh-CN"/>
        </w:rPr>
        <w:t>服务方案：</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详见评分标准</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格式自拟并自行添加）</w:t>
      </w:r>
    </w:p>
    <w:p>
      <w:pPr>
        <w:spacing w:line="440" w:lineRule="exact"/>
        <w:ind w:firstLine="53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（六）报价要求</w:t>
      </w:r>
    </w:p>
    <w:p>
      <w:pPr>
        <w:spacing w:line="360" w:lineRule="auto"/>
        <w:ind w:firstLine="532"/>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b/>
          <w:bCs/>
          <w:color w:val="auto"/>
          <w:sz w:val="24"/>
          <w:szCs w:val="24"/>
          <w:highlight w:val="none"/>
        </w:rPr>
        <w:t xml:space="preserve">投标供应商的投标报价的总额应是投标供应商完成采购文件所规定的招标范围内全部内容的费用的总和（投标文件制作费、代理服务费、前期费用等）。 </w:t>
      </w:r>
    </w:p>
    <w:p>
      <w:pPr>
        <w:spacing w:line="360" w:lineRule="auto"/>
        <w:ind w:firstLine="532"/>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投标供应商在投标前必须认真阅读采购文件、更正公告、答疑文件等有关文件，根据</w:t>
      </w:r>
      <w:r>
        <w:rPr>
          <w:rFonts w:hint="eastAsia" w:ascii="仿宋" w:hAnsi="仿宋" w:eastAsia="仿宋" w:cs="仿宋"/>
          <w:color w:val="auto"/>
          <w:sz w:val="24"/>
          <w:szCs w:val="24"/>
          <w:highlight w:val="none"/>
          <w:lang w:val="en-US" w:eastAsia="zh-CN"/>
        </w:rPr>
        <w:t>项目内容</w:t>
      </w:r>
      <w:r>
        <w:rPr>
          <w:rFonts w:hint="eastAsia" w:ascii="仿宋" w:hAnsi="仿宋" w:eastAsia="仿宋" w:cs="仿宋"/>
          <w:color w:val="auto"/>
          <w:sz w:val="24"/>
          <w:szCs w:val="24"/>
          <w:highlight w:val="none"/>
        </w:rPr>
        <w:t>及企业自身管理手段和成本核算等情况，进行认真调查后进行投标报价。</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采购人不集中组织踏勘现场，投标供应商可自行踏勘现场，踏勘现场所发生的费用及意外人身、财产损失由投标供应商承担，与采购人无关。</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本次招标开标后，投标供应商的报价不得变动，开标后即为合同价，投标文件中的承诺，视作中标签订合同的依据，对双方均具有约束力。</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凡采购文件中要求进入报价的费用若在投标供应商投标文件中不体现，均视同优惠或已进入投标总价。</w:t>
      </w:r>
    </w:p>
    <w:p>
      <w:pPr>
        <w:spacing w:line="360" w:lineRule="auto"/>
        <w:ind w:firstLine="532"/>
        <w:rPr>
          <w:rFonts w:hint="eastAsia" w:ascii="仿宋" w:hAnsi="仿宋" w:eastAsia="仿宋" w:cs="仿宋"/>
          <w:color w:val="auto"/>
          <w:sz w:val="24"/>
          <w:szCs w:val="24"/>
          <w:highlight w:val="none"/>
        </w:rPr>
      </w:pPr>
      <w:bookmarkStart w:id="13" w:name="_Hlk211179535"/>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根据《财库</w:t>
      </w:r>
      <w:r>
        <w:rPr>
          <w:rFonts w:hint="eastAsia" w:ascii="仿宋" w:hAnsi="仿宋" w:eastAsia="仿宋" w:cs="仿宋"/>
          <w:color w:val="auto"/>
          <w:sz w:val="24"/>
          <w:szCs w:val="24"/>
          <w:highlight w:val="none"/>
          <w:lang w:eastAsia="zh-CN"/>
        </w:rPr>
        <w:t>〔2026〕2号</w:t>
      </w:r>
      <w:r>
        <w:rPr>
          <w:rFonts w:hint="eastAsia" w:ascii="仿宋" w:hAnsi="仿宋" w:eastAsia="仿宋" w:cs="仿宋"/>
          <w:color w:val="auto"/>
          <w:sz w:val="24"/>
          <w:szCs w:val="24"/>
          <w:highlight w:val="none"/>
        </w:rPr>
        <w:t>》要求，明确评审委员会启动异常低价投标（响应）审查的情形和具体要求，包括：</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6.1、评审过程中出现下列情形之一的，评审委员会应当启动异常低价投标（响应）审查程序：</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报价低于全部通过符合性审查供应商投标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报价平均值50%的，即投标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报价</w:t>
      </w:r>
      <w:r>
        <w:rPr>
          <w:rFonts w:hint="eastAsia" w:ascii="微软雅黑" w:hAnsi="微软雅黑" w:eastAsia="微软雅黑" w:cs="微软雅黑"/>
          <w:color w:val="auto"/>
          <w:sz w:val="24"/>
          <w:szCs w:val="24"/>
          <w:highlight w:val="none"/>
          <w:lang w:eastAsia="zh-CN"/>
        </w:rPr>
        <w:t>&lt;</w:t>
      </w:r>
      <w:r>
        <w:rPr>
          <w:rFonts w:hint="eastAsia" w:ascii="仿宋" w:hAnsi="仿宋" w:eastAsia="仿宋" w:cs="仿宋"/>
          <w:color w:val="auto"/>
          <w:sz w:val="24"/>
          <w:szCs w:val="24"/>
          <w:highlight w:val="none"/>
        </w:rPr>
        <w:t>全部通过符合性审查供应商投标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报价平均值X50%;</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报价低于通过符合性审查的次低报价供应商投标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报价50%的，即投标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报价</w:t>
      </w:r>
      <w:r>
        <w:rPr>
          <w:rFonts w:hint="eastAsia" w:ascii="微软雅黑" w:hAnsi="微软雅黑" w:eastAsia="微软雅黑" w:cs="微软雅黑"/>
          <w:color w:val="auto"/>
          <w:sz w:val="24"/>
          <w:szCs w:val="24"/>
          <w:highlight w:val="none"/>
          <w:lang w:eastAsia="zh-CN"/>
        </w:rPr>
        <w:t>&lt;</w:t>
      </w:r>
      <w:r>
        <w:rPr>
          <w:rFonts w:hint="eastAsia" w:ascii="仿宋" w:hAnsi="仿宋" w:eastAsia="仿宋" w:cs="仿宋"/>
          <w:color w:val="auto"/>
          <w:sz w:val="24"/>
          <w:szCs w:val="24"/>
          <w:highlight w:val="none"/>
        </w:rPr>
        <w:t>通过符合性审查的次低报价供应商投标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报价X50%;</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报价低于采购项目最高限价45%的，即投标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报价</w:t>
      </w:r>
      <w:r>
        <w:rPr>
          <w:rFonts w:hint="eastAsia" w:ascii="微软雅黑" w:hAnsi="微软雅黑" w:eastAsia="微软雅黑" w:cs="微软雅黑"/>
          <w:color w:val="auto"/>
          <w:sz w:val="24"/>
          <w:szCs w:val="24"/>
          <w:highlight w:val="none"/>
          <w:lang w:eastAsia="zh-CN"/>
        </w:rPr>
        <w:t>&lt;</w:t>
      </w:r>
      <w:r>
        <w:rPr>
          <w:rFonts w:hint="eastAsia" w:ascii="仿宋" w:hAnsi="仿宋" w:eastAsia="仿宋" w:cs="仿宋"/>
          <w:color w:val="auto"/>
          <w:sz w:val="24"/>
          <w:szCs w:val="24"/>
          <w:highlight w:val="none"/>
        </w:rPr>
        <w:t>采购项目最高限价X45%;</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4.评审委员会基于专业判断，认为供应商报价过低，有可能影响产品质量或者不能诚信履约的其他情形。</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采购人可以结合具体项目实际情况，提高上述第1项至第3项中启动异常低价投标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审查的数值标准，但是最高不得超过65%</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相关法律法规对供应商报价有规定的，从其规定。</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评审委员会启动异常低价投标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审查后，属于前述第1项至第4项情形的，应当要求相关供应商在评审现场合理的时间内对投标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文件一并提交相关书面说明及必要的证明材料的，在评审现场可不再重复提交。</w:t>
      </w:r>
      <w:bookmarkEnd w:id="13"/>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（七）投标文件的制作要求：</w:t>
      </w:r>
    </w:p>
    <w:p>
      <w:pPr>
        <w:spacing w:line="360" w:lineRule="auto"/>
        <w:ind w:firstLine="532"/>
        <w:rPr>
          <w:rFonts w:hint="eastAsia" w:ascii="仿宋" w:hAnsi="仿宋" w:eastAsia="仿宋" w:cs="仿宋"/>
          <w:color w:val="auto"/>
          <w:sz w:val="24"/>
          <w:szCs w:val="24"/>
          <w:highlight w:val="none"/>
        </w:rPr>
      </w:pPr>
      <w:bookmarkStart w:id="14" w:name="_Hlk211179574"/>
      <w:r>
        <w:rPr>
          <w:rFonts w:hint="eastAsia" w:ascii="仿宋" w:hAnsi="仿宋" w:eastAsia="仿宋" w:cs="仿宋"/>
          <w:color w:val="auto"/>
          <w:sz w:val="24"/>
          <w:szCs w:val="24"/>
          <w:highlight w:val="none"/>
        </w:rPr>
        <w:t>1.所有文件、往来函件均应使用简体中文（规格、型号辅助符号除外）。</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2.投标文件由投标供应商按给定格式如实填写（编写），须有法人（盖章）、法定代表人或法定代表人授权代表签字或盖章，方为有效，未尽事宜可自行补充。</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3.本招标文件中要求涉及的盖章部分均可使用CA签章。</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4.投标供应商报价一律以人民币为报价结算货币，结算单位为“元”。</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5.投标文件格式部分，应由投标供应商按给定格式提供，不得更改。</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6.投标文件不应有涂改、增删和潦草之处，如有必须修改时，修改处必须有法人、法定代表人或法定代表人授权代表的签章。</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7.投标费用自理。</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投标供应商应由其法定代表人或法定代表人授权代表在规定的网上投标时间内，凭CA数字证书登录政府采购交易管理一体化系统获取招标文件，在投标客户端制作投标文件（电子数据），并在投标截止时间之前上传投标文件。</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9.投标供应商应对CA数字证书妥善保管，如被他人盗用投标，后果自负。</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10.投标供应商按招标文件规定的网上解密时间进行解密，如未按时解密后果自负。</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11.投标供应商应当对招标文件提出的要求和条件作出实质性响应，并在电子投标系统逐条应答。</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12.投标供应商应对要求提供的资格证明文件（如资质证书、资格证书）、技术资料（如白皮书、彩页、手册等）扫描上传至投标系统。</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13.投标供应商进行网上投标请参照《政府采购项目电子交易管理操作指南－供应商》。</w:t>
      </w:r>
      <w:bookmarkEnd w:id="14"/>
    </w:p>
    <w:p>
      <w:pPr>
        <w:spacing w:line="360" w:lineRule="auto"/>
        <w:ind w:firstLine="53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14.暗标编制要求：</w:t>
      </w:r>
    </w:p>
    <w:p>
      <w:pPr>
        <w:spacing w:line="360" w:lineRule="auto"/>
        <w:ind w:firstLine="53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14.1暗标不得出现投标供应商名称、人员姓名，要求版面整洁、字迹清楚、不许涂改，不得出现能显示企业特征或其他提示性的标记或标识，也不得采用任何不符合常规、有别于其他投标供应商的特殊做法。</w:t>
      </w:r>
    </w:p>
    <w:p>
      <w:pPr>
        <w:spacing w:line="360" w:lineRule="auto"/>
        <w:ind w:firstLine="53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13.2排版要求：页面采用A4版面，字体为小四号宋体，不得出现彩色文字或彩色图片，不得出现手写，不得有空白页，如有平面布置图、进度表、网络图可采用A3版面编辑，不可编辑的照片、图片、截图中字体及字号不</w:t>
      </w:r>
      <w:r>
        <w:rPr>
          <w:rFonts w:hint="eastAsia" w:ascii="仿宋" w:hAnsi="仿宋" w:eastAsia="仿宋" w:cs="仿宋"/>
          <w:b/>
          <w:bCs/>
          <w:color w:val="auto"/>
          <w:sz w:val="24"/>
          <w:szCs w:val="24"/>
          <w:highlight w:val="none"/>
          <w:lang w:eastAsia="zh-CN"/>
        </w:rPr>
        <w:t>做</w:t>
      </w:r>
      <w:r>
        <w:rPr>
          <w:rFonts w:hint="eastAsia" w:ascii="仿宋" w:hAnsi="仿宋" w:eastAsia="仿宋" w:cs="仿宋"/>
          <w:b/>
          <w:bCs/>
          <w:color w:val="auto"/>
          <w:sz w:val="24"/>
          <w:szCs w:val="24"/>
          <w:highlight w:val="none"/>
        </w:rPr>
        <w:t>限制，对应评分标准模块上传。</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（八）无效投标文件的确认：</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投标供应商有下列情况之一者，其投标文件无效： </w:t>
      </w:r>
    </w:p>
    <w:p>
      <w:pPr>
        <w:spacing w:line="360" w:lineRule="auto"/>
        <w:ind w:firstLine="532"/>
        <w:rPr>
          <w:rFonts w:hint="eastAsia" w:ascii="仿宋" w:hAnsi="仿宋" w:eastAsia="仿宋" w:cs="仿宋"/>
          <w:color w:val="auto"/>
          <w:sz w:val="24"/>
          <w:szCs w:val="24"/>
          <w:highlight w:val="none"/>
        </w:rPr>
      </w:pPr>
      <w:bookmarkStart w:id="15" w:name="_Hlk211201625"/>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电子投标文件未按规定期限上传的；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电子投标文件未按采购文件要求签章的；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投标人未按采购文件要求解密投标文件的；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投标人的法定代表人授权代表，无法定代表人授权委托书的；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不具备采购文件中规定的资格要求或未按采购文件规定的要求提供资格、资信证明文件；</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被“信用中国”网站（www.creditchina.gov.cn）、中国政府采购网（www.ccgp.gov.cn）列入失信被执行人、重大税收违法案件失信主体、政府采购严重违法失信行为记录名单及其他不符合《中华人民共和国政府采购法》第二十二条规定条件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投标文件未按采购文件规定的内容和要求填写的；没有在投标系统指定位置上传对应文件、材料的；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电子投标文件图片、字迹模糊不清、无法辨认的；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9.投标文件中有采购文件未允许提供的选择性内容的；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10.恶意串通其他投标供应商，故意哄抬价格或压价的；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11.提供虚假材料的（包括工商营业执照、财务报表、资格、资信证明文件等）；</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12.投标文件未加盖投标供应商公章及法定代表人或授权代表签字和盖章的；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13.不同投标供应商委托同一单位或者个人办理投标事宜；</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14.不同投标供应商的投标文件载明的项目管理成员或者联系人为同一人的；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15.不同投标供应商的投标文件异常一致或者投标报价呈规律性差异；</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16.不同投标供应商的单位负责人为同一人或者存在直接控股、管理关系的；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17.不同投标供应商的委托代理人、项目负责人以及其他相关人员有在同一个单位缴纳社会保险的；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18.投标文件中含有采购人不能接受的附加条件的；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19.同一投标文件中单位名称落款与公章不是同一单位的；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20.投标文件中同一方案有选择性报价且未声明以哪一个为准的；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21.未提供技术标的或技术标（暗标）中出现该投标供应商单位名称、简称、人员姓名、Logo、商标、电话号码等任何标识标记及其他暗示性标志的；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22.投标报价超过采购文件规定的预算金额或者最高限价的；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 投标报价属于启动异常低价投标（响应）审查的情形之一的，且投标供应商未能在规定时间内提供书面说明、证明材料或者提供的书面说明、证明材料不能证明其报价合理性的 ；</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24.未通过投标文件资格性检查、投标文件符合性检查的；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25.投标供应商的投标报价畸高或畸低，但投标总报价与各分项报价不能相互对应，在询标时没有合理的解释或者不能提供计算依据和报价依据的；</w:t>
      </w:r>
    </w:p>
    <w:p>
      <w:pPr>
        <w:spacing w:line="360" w:lineRule="auto"/>
        <w:ind w:firstLine="5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26.投标文件内容不全或不符合法律法规和采购文件中规定的其他实质性要求的；</w:t>
      </w:r>
    </w:p>
    <w:p>
      <w:pPr>
        <w:spacing w:line="360" w:lineRule="auto"/>
        <w:ind w:firstLine="532"/>
        <w:rPr>
          <w:rFonts w:hint="eastAsia" w:ascii="仿宋" w:hAnsi="仿宋" w:eastAsia="仿宋" w:cs="仿宋"/>
          <w:color w:val="auto"/>
          <w:sz w:val="24"/>
          <w:szCs w:val="24"/>
          <w:highlight w:val="none"/>
        </w:rPr>
      </w:pPr>
      <w:bookmarkStart w:id="16" w:name="_Hlk211179928"/>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rPr>
        <w:t>. 不同供应商的投标文件上传使用的MAC地址和IP地址一致的。</w:t>
      </w:r>
      <w:bookmarkEnd w:id="15"/>
      <w:bookmarkEnd w:id="16"/>
    </w:p>
    <w:p>
      <w:pPr>
        <w:tabs>
          <w:tab w:val="left" w:pos="735"/>
        </w:tabs>
        <w:spacing w:line="360" w:lineRule="auto"/>
        <w:outlineLvl w:val="1"/>
        <w:rPr>
          <w:rFonts w:hint="eastAsia" w:ascii="仿宋" w:hAnsi="仿宋" w:eastAsia="仿宋" w:cs="仿宋"/>
          <w:b/>
          <w:bCs/>
          <w:color w:val="auto"/>
          <w:sz w:val="24"/>
          <w:szCs w:val="24"/>
          <w:highlight w:val="none"/>
        </w:rPr>
      </w:pPr>
      <w:bookmarkStart w:id="17" w:name="_Hlk211180075"/>
      <w:r>
        <w:rPr>
          <w:rFonts w:hint="eastAsia" w:ascii="仿宋" w:hAnsi="仿宋" w:eastAsia="仿宋" w:cs="仿宋"/>
          <w:b/>
          <w:bCs/>
          <w:color w:val="auto"/>
          <w:sz w:val="24"/>
          <w:szCs w:val="24"/>
          <w:highlight w:val="none"/>
        </w:rPr>
        <w:t>（九）开标、评标：</w:t>
      </w:r>
    </w:p>
    <w:p>
      <w:pPr>
        <w:tabs>
          <w:tab w:val="left" w:pos="1365"/>
        </w:tabs>
        <w:spacing w:line="360" w:lineRule="auto"/>
        <w:ind w:firstLine="480"/>
        <w:rPr>
          <w:rFonts w:hint="eastAsia" w:ascii="仿宋" w:hAnsi="仿宋" w:eastAsia="仿宋" w:cs="仿宋"/>
          <w:b/>
          <w:color w:val="auto"/>
          <w:sz w:val="24"/>
          <w:highlight w:val="none"/>
        </w:rPr>
      </w:pPr>
      <w:bookmarkStart w:id="18" w:name="_Hlk211201694"/>
      <w:r>
        <w:rPr>
          <w:rFonts w:hint="eastAsia" w:ascii="仿宋" w:hAnsi="仿宋" w:eastAsia="仿宋" w:cs="仿宋"/>
          <w:b/>
          <w:color w:val="auto"/>
          <w:sz w:val="24"/>
          <w:highlight w:val="none"/>
        </w:rPr>
        <w:t>1.开标工作程序</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1.1代理机构将在招标公告中规定的时间和地点组织开标。投标供应商应当按照《“苏采云”系统供应商操作手册》规定，参加开标活动和在苏采云系统规定的时间内对投标文件进行解密。</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1.2开标仪式由代理机构组织。苏采云系统将自动对项目进行开标，并宣布各投标供应商名称和投标价格。</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1.3投标供应商在开标过程中涉及的投标文件解密、开标结果确认等工作，应按照《“苏采云”系统供应商操作手册》规定执行。</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1.4投标供应商如果对开标过程和开标记录有疑义，应当根据《“苏采云”系统供应商操作手册》规定提出，如苏采云系统中《开标记录表》宣布后5分钟内未提出的，视同认可开标结果。</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1.6投标截止时间后参加投标的供应商或解密投标文件的供应商不足三家的，不进行评审。</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1.7投标文件报价出现前后不一致的，按照下列规定修正：</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（1）投标文件中开标一览表（报价表）内容与投标文件中相应内容不一致的，以开标一览表（报价表）为准；</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（2）大写金额和小写金额不一致的，以大写金额为准；</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（3）单价金额小数点或者百分比有明显错位的，以开标一览表的总价为准，并修改单价；</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（4）总价金额与按单价汇总金额不一致的，以单价金额计算结果为准。</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2.投标供应商资格审查</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2.1公开招标采购项目开标结束后，投标文件资格性检查由采购人或采购代理机构组建的资格审查小组负责。</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2.2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对信用记录查询结果显示被列入失信被执行人、重大税收违法失信主体、政府采购严重违法失信行为记录名单及其他不符合《中华人民共和国政府采购法》第二十二条规定条件的投标供应商，禁止参加政府采购活动的时间按处罚结果执行，但不受区域限制（财库</w:t>
      </w:r>
      <w:r>
        <w:rPr>
          <w:rFonts w:hint="eastAsia" w:ascii="仿宋" w:hAnsi="仿宋" w:eastAsia="仿宋" w:cs="仿宋"/>
          <w:bCs/>
          <w:color w:val="auto"/>
          <w:sz w:val="24"/>
          <w:highlight w:val="none"/>
          <w:lang w:eastAsia="zh-CN"/>
        </w:rPr>
        <w:t>〔2015〕150号</w:t>
      </w:r>
      <w:r>
        <w:rPr>
          <w:rFonts w:hint="eastAsia" w:ascii="仿宋" w:hAnsi="仿宋" w:eastAsia="仿宋" w:cs="仿宋"/>
          <w:bCs/>
          <w:color w:val="auto"/>
          <w:sz w:val="24"/>
          <w:highlight w:val="none"/>
        </w:rPr>
        <w:t>《关于规范政府采购行政处罚有关问题的通知》，相关行政处罚决定在全国范围内生效）。</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2.5资格审查不合格的投标供应商的投标文件不进入后续评审。</w:t>
      </w:r>
    </w:p>
    <w:p>
      <w:pPr>
        <w:tabs>
          <w:tab w:val="left" w:pos="1365"/>
        </w:tabs>
        <w:spacing w:line="360" w:lineRule="auto"/>
        <w:ind w:firstLine="48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3.评标工作程序</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3.1由专家组成评标委员会，并实行回避制度。</w:t>
      </w:r>
    </w:p>
    <w:p>
      <w:pPr>
        <w:tabs>
          <w:tab w:val="left" w:pos="1365"/>
        </w:tabs>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3.2投标文件符合性检查</w:t>
      </w:r>
    </w:p>
    <w:p>
      <w:pPr>
        <w:tabs>
          <w:tab w:val="left" w:pos="1365"/>
        </w:tabs>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3.2.1评标委员会将对资格符合的投标文件进行评审，以确定是否对招标文件的实质性要求做出响应</w:t>
      </w:r>
    </w:p>
    <w:p>
      <w:pPr>
        <w:tabs>
          <w:tab w:val="left" w:pos="480"/>
        </w:tabs>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符合性审查表</w:t>
      </w:r>
    </w:p>
    <w:tbl>
      <w:tblPr>
        <w:tblStyle w:val="30"/>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69"/>
        <w:gridCol w:w="2535"/>
        <w:gridCol w:w="5614"/>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69"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535"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评审点要求概况</w:t>
            </w:r>
          </w:p>
        </w:tc>
        <w:tc>
          <w:tcPr>
            <w:tcW w:w="5614"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评审点具体描述</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jc w:val="center"/>
        </w:trPr>
        <w:tc>
          <w:tcPr>
            <w:tcW w:w="769"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2535"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投标函</w:t>
            </w:r>
          </w:p>
        </w:tc>
        <w:tc>
          <w:tcPr>
            <w:tcW w:w="5614"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69"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tc>
        <w:tc>
          <w:tcPr>
            <w:tcW w:w="2535"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开标一览表</w:t>
            </w:r>
          </w:p>
        </w:tc>
        <w:tc>
          <w:tcPr>
            <w:tcW w:w="5614"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69"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2535"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报价明细表</w:t>
            </w:r>
          </w:p>
        </w:tc>
        <w:tc>
          <w:tcPr>
            <w:tcW w:w="5614"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69"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2535"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服务保障承诺书</w:t>
            </w:r>
          </w:p>
        </w:tc>
        <w:tc>
          <w:tcPr>
            <w:tcW w:w="5614" w:type="dxa"/>
            <w:noWrap w:val="0"/>
            <w:vAlign w:val="center"/>
          </w:tcPr>
          <w:p>
            <w:pPr>
              <w:tabs>
                <w:tab w:val="left" w:pos="480"/>
                <w:tab w:val="left" w:pos="2009"/>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按招标文件填写 ，格式见附件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69"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p>
        </w:tc>
        <w:tc>
          <w:tcPr>
            <w:tcW w:w="2535"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投标偏离表</w:t>
            </w:r>
          </w:p>
        </w:tc>
        <w:tc>
          <w:tcPr>
            <w:tcW w:w="5614"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按招标文件填写 ，格式见附件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69"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p>
        </w:tc>
        <w:tc>
          <w:tcPr>
            <w:tcW w:w="2535"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投标供应商基本情况表</w:t>
            </w:r>
          </w:p>
        </w:tc>
        <w:tc>
          <w:tcPr>
            <w:tcW w:w="5614"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按招标文件填写 ，格式见附件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jc w:val="center"/>
        </w:trPr>
        <w:tc>
          <w:tcPr>
            <w:tcW w:w="769"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7</w:t>
            </w:r>
          </w:p>
        </w:tc>
        <w:tc>
          <w:tcPr>
            <w:tcW w:w="2535"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人员配置表及拟派项目负责人简历表</w:t>
            </w:r>
          </w:p>
        </w:tc>
        <w:tc>
          <w:tcPr>
            <w:tcW w:w="5614"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按招标文件填写 ，格式见附件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jc w:val="center"/>
        </w:trPr>
        <w:tc>
          <w:tcPr>
            <w:tcW w:w="769"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8</w:t>
            </w:r>
          </w:p>
        </w:tc>
        <w:tc>
          <w:tcPr>
            <w:tcW w:w="2535"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投标文件内容</w:t>
            </w:r>
          </w:p>
        </w:tc>
        <w:tc>
          <w:tcPr>
            <w:tcW w:w="5614" w:type="dxa"/>
            <w:noWrap w:val="0"/>
            <w:vAlign w:val="center"/>
          </w:tcPr>
          <w:p>
            <w:pPr>
              <w:tabs>
                <w:tab w:val="left" w:pos="480"/>
              </w:tabs>
              <w:spacing w:line="440" w:lineRule="exact"/>
              <w:jc w:val="cente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不存在供应商须知第八条中的情形</w:t>
            </w:r>
          </w:p>
        </w:tc>
      </w:tr>
    </w:tbl>
    <w:p>
      <w:pPr>
        <w:jc w:val="center"/>
        <w:rPr>
          <w:rFonts w:hint="eastAsia" w:ascii="仿宋" w:hAnsi="仿宋" w:eastAsia="仿宋" w:cs="仿宋"/>
          <w:b/>
          <w:color w:val="auto"/>
          <w:sz w:val="24"/>
          <w:szCs w:val="24"/>
          <w:highlight w:val="none"/>
          <w:lang w:val="zh-CN"/>
        </w:rPr>
      </w:pPr>
    </w:p>
    <w:p>
      <w:pPr>
        <w:spacing w:line="360" w:lineRule="auto"/>
        <w:rPr>
          <w:rFonts w:hint="eastAsia" w:ascii="仿宋" w:hAnsi="仿宋" w:eastAsia="仿宋" w:cs="仿宋"/>
          <w:bCs/>
          <w:color w:val="auto"/>
          <w:sz w:val="24"/>
          <w:highlight w:val="none"/>
          <w:lang w:val="zh-CN"/>
        </w:rPr>
      </w:pPr>
      <w:r>
        <w:rPr>
          <w:rFonts w:hint="eastAsia" w:ascii="仿宋" w:hAnsi="仿宋" w:eastAsia="仿宋" w:cs="仿宋"/>
          <w:b/>
          <w:color w:val="auto"/>
          <w:sz w:val="24"/>
          <w:szCs w:val="24"/>
          <w:highlight w:val="none"/>
          <w:lang w:val="zh-CN"/>
        </w:rPr>
        <w:t>特别提醒：符合性审查不合格的投标供应商的投标文件不进入后续评审。</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3.2.2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3.2.3招标文件提供的工艺、材料、设备、参考的商标或样本目录号码等仅作为说明并没有限制性，投标供应商在投标中可以选用替代标准，但这些替代标准要优于或相当于技术规格中要求的标准，以满足采购人的需要。</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3.2.4除上述情形外，对投标文件的判定，只依据投标文件本身，不依靠开标后的任何外来证明。</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3.2.5采购人及采购代理机构将拒绝被确定为非实质性响应的投标，投标供应商不能通过修正或撤销不符之处而使其投标成为实质性响应的投标。</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3.2.6对不同文字文本投标文件的解释发生异议的，以中文文本为准；</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3.3评委会组织负责具体的评标事务，并独立履行以下职责：</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3.3.1审查、评价投标文件是否符合招标文件的商务、技术等实质性要求；</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3.3.2要求投标供应商对投标文件有关事项</w:t>
      </w:r>
      <w:r>
        <w:rPr>
          <w:rFonts w:hint="eastAsia" w:ascii="仿宋" w:hAnsi="仿宋" w:eastAsia="仿宋" w:cs="仿宋"/>
          <w:color w:val="auto"/>
          <w:sz w:val="24"/>
          <w:highlight w:val="none"/>
          <w:lang w:eastAsia="zh-CN"/>
        </w:rPr>
        <w:t>作出</w:t>
      </w:r>
      <w:r>
        <w:rPr>
          <w:rFonts w:hint="eastAsia" w:ascii="仿宋" w:hAnsi="仿宋" w:eastAsia="仿宋" w:cs="仿宋"/>
          <w:color w:val="auto"/>
          <w:sz w:val="24"/>
          <w:highlight w:val="none"/>
        </w:rPr>
        <w:t>澄清或者说明；</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3.3.3对投标文件进行比较和评价；</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3.3.4根据招标文件评分办法，向采购人推荐3名中标候选供应商；</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3.3.5向采购人、采购代理机构或者有关部门报告评标中发现的违法行为；</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3.4评委会成员应当履行下列义务：</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3.4.1遵纪守法，客观、公正、廉洁地履行职责；</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3.4.2按照招标文件规定的评标办法和评标标准进行评标，对评审意见承担个人责任；</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3.4.3对评标过程和结果，以及投标供应商的商业秘密保密；</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3.4.4参与评标报告的起草；</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3.4.5配合采购人及采购代理机构答复投标供应商提出的质疑；</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3.4.6配合有关部门的投诉处理工作。</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3.5评标内容的保密</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3.5.1公开开标后，直到宣布授予中标供应商合同为止，凡属于审查、澄清、评价和比较投标的所有资料，有关授予合同的信息都不应向投标供应商或与评标无关的其他人泄露。</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3.5.2在投标文件的审查、澄清、评价和比较以及授予合同的过程中，投标供应商对采购代理机构和评标委员会成员施加影响的任何行为，都将取消其中标资格。</w:t>
      </w:r>
    </w:p>
    <w:p>
      <w:pPr>
        <w:pStyle w:val="215"/>
        <w:spacing w:line="360" w:lineRule="auto"/>
        <w:ind w:firstLine="482"/>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3.6比较与评价</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3.6.1投标文件资格性检查和符合性检查结束后，凡属于“（八）无效投标文件的确认”的投标文件不进入比较与评价程序。</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3.6.2经评审有效的投标文件按招标文件中规定的评标方法和标准，由评标委员会进行比较与评价。</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3.6.3评审全部结束后，由工作人员在公证或监督下，汇总各投标供应商商务标和技术标得分，确定各投标供应商总分和最终排序。</w:t>
      </w:r>
    </w:p>
    <w:p>
      <w:pPr>
        <w:pStyle w:val="215"/>
        <w:spacing w:line="360" w:lineRule="auto"/>
        <w:ind w:firstLine="482"/>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4.评标方法：</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4.1投标供应商通过初审的，方可进入比较与评价程序。</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4.2比较与评价采用综合评分法（计分均保留2位小数）。</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4.3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在最大限度满足招标文件实质性要求的前提下，按照招标文件中明确的各项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pPr>
        <w:pStyle w:val="215"/>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4.4如投标供应商提供虚假材料，将按《中华人民共和国政府采购法</w:t>
      </w:r>
      <w:r>
        <w:rPr>
          <w:rFonts w:hint="eastAsia" w:ascii="仿宋" w:hAnsi="仿宋" w:eastAsia="仿宋" w:cs="仿宋"/>
          <w:color w:val="auto"/>
          <w:sz w:val="24"/>
          <w:highlight w:val="none"/>
          <w:lang w:eastAsia="zh-CN"/>
        </w:rPr>
        <w:t>》等</w:t>
      </w:r>
      <w:r>
        <w:rPr>
          <w:rFonts w:hint="eastAsia" w:ascii="仿宋" w:hAnsi="仿宋" w:eastAsia="仿宋" w:cs="仿宋"/>
          <w:color w:val="auto"/>
          <w:sz w:val="24"/>
          <w:highlight w:val="none"/>
        </w:rPr>
        <w:t>相关规定处理并由政府监管部门给予严肃处理。</w:t>
      </w:r>
      <w:bookmarkEnd w:id="17"/>
      <w:bookmarkEnd w:id="18"/>
    </w:p>
    <w:p>
      <w:pPr>
        <w:tabs>
          <w:tab w:val="left" w:pos="1365"/>
        </w:tabs>
        <w:spacing w:line="360" w:lineRule="auto"/>
        <w:ind w:firstLine="482"/>
        <w:rPr>
          <w:rFonts w:hint="eastAsia" w:ascii="仿宋" w:hAnsi="仿宋" w:eastAsia="仿宋" w:cs="仿宋"/>
          <w:b/>
          <w:color w:val="auto"/>
          <w:sz w:val="24"/>
          <w:highlight w:val="none"/>
        </w:rPr>
      </w:pPr>
      <w:r>
        <w:rPr>
          <w:rFonts w:hint="eastAsia" w:ascii="仿宋" w:hAnsi="仿宋" w:eastAsia="仿宋" w:cs="仿宋"/>
          <w:b/>
          <w:color w:val="auto"/>
          <w:sz w:val="24"/>
          <w:szCs w:val="24"/>
          <w:highlight w:val="none"/>
        </w:rPr>
        <w:t>5.</w:t>
      </w:r>
      <w:r>
        <w:rPr>
          <w:rFonts w:hint="eastAsia" w:ascii="仿宋" w:hAnsi="仿宋" w:eastAsia="仿宋" w:cs="仿宋"/>
          <w:color w:val="auto"/>
          <w:highlight w:val="none"/>
        </w:rPr>
        <w:t xml:space="preserve"> </w:t>
      </w:r>
      <w:bookmarkStart w:id="19" w:name="_Hlk211202329"/>
      <w:r>
        <w:rPr>
          <w:rFonts w:hint="eastAsia" w:ascii="仿宋" w:hAnsi="仿宋" w:eastAsia="仿宋" w:cs="仿宋"/>
          <w:b/>
          <w:color w:val="auto"/>
          <w:sz w:val="24"/>
          <w:szCs w:val="24"/>
          <w:highlight w:val="none"/>
        </w:rPr>
        <w:t>评分项目及分值（总分100分）</w:t>
      </w:r>
      <w:bookmarkStart w:id="20" w:name="_Hlk35260033"/>
      <w:r>
        <w:rPr>
          <w:rFonts w:hint="eastAsia" w:ascii="仿宋" w:hAnsi="仿宋" w:eastAsia="仿宋" w:cs="仿宋"/>
          <w:b/>
          <w:color w:val="auto"/>
          <w:sz w:val="24"/>
          <w:szCs w:val="24"/>
          <w:highlight w:val="none"/>
        </w:rPr>
        <w:t>：</w:t>
      </w:r>
      <w:bookmarkEnd w:id="19"/>
    </w:p>
    <w:p>
      <w:pPr>
        <w:tabs>
          <w:tab w:val="left" w:pos="1365"/>
        </w:tabs>
        <w:spacing w:line="360" w:lineRule="auto"/>
        <w:ind w:firstLine="482"/>
        <w:rPr>
          <w:rFonts w:hint="eastAsia" w:ascii="仿宋" w:hAnsi="仿宋" w:eastAsia="仿宋" w:cs="仿宋"/>
          <w:b/>
          <w:color w:val="auto"/>
          <w:sz w:val="24"/>
          <w:highlight w:val="none"/>
        </w:rPr>
      </w:pPr>
      <w:r>
        <w:rPr>
          <w:rFonts w:hint="eastAsia" w:ascii="仿宋" w:hAnsi="仿宋" w:eastAsia="仿宋" w:cs="仿宋"/>
          <w:b/>
          <w:color w:val="auto"/>
          <w:sz w:val="24"/>
          <w:szCs w:val="24"/>
          <w:highlight w:val="none"/>
        </w:rPr>
        <w:t>（1）价格</w:t>
      </w:r>
      <w:r>
        <w:rPr>
          <w:rFonts w:hint="eastAsia" w:ascii="仿宋" w:hAnsi="仿宋" w:eastAsia="仿宋" w:cs="仿宋"/>
          <w:b/>
          <w:color w:val="auto"/>
          <w:sz w:val="24"/>
          <w:szCs w:val="24"/>
          <w:highlight w:val="none"/>
          <w:lang w:val="en-US" w:eastAsia="zh-CN"/>
        </w:rPr>
        <w:t>部分</w:t>
      </w:r>
      <w:r>
        <w:rPr>
          <w:rFonts w:hint="eastAsia" w:ascii="仿宋" w:hAnsi="仿宋" w:eastAsia="仿宋" w:cs="仿宋"/>
          <w:b/>
          <w:color w:val="auto"/>
          <w:sz w:val="24"/>
          <w:szCs w:val="24"/>
          <w:highlight w:val="none"/>
        </w:rPr>
        <w:t xml:space="preserve">                                     2</w:t>
      </w:r>
      <w:r>
        <w:rPr>
          <w:rFonts w:hint="eastAsia" w:ascii="仿宋" w:hAnsi="仿宋" w:eastAsia="仿宋" w:cs="仿宋"/>
          <w:b/>
          <w:color w:val="auto"/>
          <w:sz w:val="24"/>
          <w:szCs w:val="24"/>
          <w:highlight w:val="none"/>
          <w:lang w:val="en-US" w:eastAsia="zh-CN"/>
        </w:rPr>
        <w:t>0</w:t>
      </w:r>
      <w:r>
        <w:rPr>
          <w:rFonts w:hint="eastAsia" w:ascii="仿宋" w:hAnsi="仿宋" w:eastAsia="仿宋" w:cs="仿宋"/>
          <w:b/>
          <w:color w:val="auto"/>
          <w:sz w:val="24"/>
          <w:szCs w:val="24"/>
          <w:highlight w:val="none"/>
        </w:rPr>
        <w:t>分</w:t>
      </w:r>
    </w:p>
    <w:p>
      <w:pPr>
        <w:tabs>
          <w:tab w:val="left" w:pos="1365"/>
        </w:tabs>
        <w:spacing w:line="360" w:lineRule="auto"/>
        <w:ind w:firstLine="482"/>
        <w:rPr>
          <w:rFonts w:hint="eastAsia" w:ascii="仿宋" w:hAnsi="仿宋" w:eastAsia="仿宋" w:cs="仿宋"/>
          <w:b/>
          <w:color w:val="auto"/>
          <w:sz w:val="24"/>
          <w:highlight w:val="none"/>
        </w:rPr>
      </w:pPr>
      <w:r>
        <w:rPr>
          <w:rFonts w:hint="eastAsia" w:ascii="仿宋" w:hAnsi="仿宋" w:eastAsia="仿宋" w:cs="仿宋"/>
          <w:b/>
          <w:color w:val="auto"/>
          <w:sz w:val="24"/>
          <w:szCs w:val="24"/>
          <w:highlight w:val="none"/>
        </w:rPr>
        <w:t>（2）商务</w:t>
      </w:r>
      <w:r>
        <w:rPr>
          <w:rFonts w:hint="eastAsia" w:ascii="仿宋" w:hAnsi="仿宋" w:eastAsia="仿宋" w:cs="仿宋"/>
          <w:b/>
          <w:color w:val="auto"/>
          <w:sz w:val="24"/>
          <w:szCs w:val="24"/>
          <w:highlight w:val="none"/>
          <w:lang w:val="en-US" w:eastAsia="zh-CN"/>
        </w:rPr>
        <w:t>部分</w:t>
      </w:r>
      <w:r>
        <w:rPr>
          <w:rFonts w:hint="eastAsia"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lang w:val="en-US" w:eastAsia="zh-CN"/>
        </w:rPr>
        <w:t>20</w:t>
      </w:r>
      <w:r>
        <w:rPr>
          <w:rFonts w:hint="eastAsia" w:ascii="仿宋" w:hAnsi="仿宋" w:eastAsia="仿宋" w:cs="仿宋"/>
          <w:b/>
          <w:color w:val="auto"/>
          <w:sz w:val="24"/>
          <w:szCs w:val="24"/>
          <w:highlight w:val="none"/>
        </w:rPr>
        <w:t>分</w:t>
      </w:r>
      <w:bookmarkEnd w:id="20"/>
    </w:p>
    <w:p>
      <w:pPr>
        <w:tabs>
          <w:tab w:val="left" w:pos="1365"/>
        </w:tabs>
        <w:spacing w:line="360" w:lineRule="auto"/>
        <w:ind w:firstLine="482"/>
        <w:rPr>
          <w:rFonts w:hint="eastAsia" w:ascii="仿宋" w:hAnsi="仿宋" w:eastAsia="仿宋" w:cs="仿宋"/>
          <w:b/>
          <w:color w:val="auto"/>
          <w:sz w:val="24"/>
          <w:highlight w:val="none"/>
        </w:rPr>
      </w:pPr>
      <w:r>
        <w:rPr>
          <w:rFonts w:hint="eastAsia" w:ascii="仿宋" w:hAnsi="仿宋" w:eastAsia="仿宋" w:cs="仿宋"/>
          <w:b/>
          <w:color w:val="auto"/>
          <w:sz w:val="24"/>
          <w:szCs w:val="24"/>
          <w:highlight w:val="none"/>
        </w:rPr>
        <w:t>（3）</w:t>
      </w:r>
      <w:r>
        <w:rPr>
          <w:rFonts w:hint="eastAsia" w:ascii="仿宋" w:hAnsi="仿宋" w:eastAsia="仿宋" w:cs="仿宋"/>
          <w:b/>
          <w:color w:val="auto"/>
          <w:sz w:val="24"/>
          <w:szCs w:val="24"/>
          <w:highlight w:val="none"/>
          <w:lang w:val="en-US" w:eastAsia="zh-CN"/>
        </w:rPr>
        <w:t>服务方案</w:t>
      </w:r>
      <w:r>
        <w:rPr>
          <w:rFonts w:hint="eastAsia" w:ascii="仿宋" w:hAnsi="仿宋" w:eastAsia="仿宋" w:cs="仿宋"/>
          <w:b/>
          <w:color w:val="auto"/>
          <w:sz w:val="24"/>
          <w:szCs w:val="24"/>
          <w:highlight w:val="none"/>
        </w:rPr>
        <w:t xml:space="preserve">（暗标）                             </w:t>
      </w:r>
      <w:r>
        <w:rPr>
          <w:rFonts w:hint="eastAsia" w:ascii="仿宋" w:hAnsi="仿宋" w:eastAsia="仿宋" w:cs="仿宋"/>
          <w:b/>
          <w:color w:val="auto"/>
          <w:sz w:val="24"/>
          <w:szCs w:val="24"/>
          <w:highlight w:val="none"/>
          <w:lang w:val="en-US" w:eastAsia="zh-CN"/>
        </w:rPr>
        <w:t>60</w:t>
      </w:r>
      <w:r>
        <w:rPr>
          <w:rFonts w:hint="eastAsia" w:ascii="仿宋" w:hAnsi="仿宋" w:eastAsia="仿宋" w:cs="仿宋"/>
          <w:b/>
          <w:color w:val="auto"/>
          <w:sz w:val="24"/>
          <w:szCs w:val="24"/>
          <w:highlight w:val="none"/>
        </w:rPr>
        <w:t>分</w:t>
      </w:r>
    </w:p>
    <w:p>
      <w:pPr>
        <w:tabs>
          <w:tab w:val="left" w:pos="1365"/>
        </w:tabs>
        <w:spacing w:line="360" w:lineRule="auto"/>
        <w:ind w:firstLine="482"/>
        <w:rPr>
          <w:rFonts w:hint="eastAsia" w:ascii="仿宋" w:hAnsi="仿宋" w:eastAsia="仿宋" w:cs="仿宋"/>
          <w:b/>
          <w:color w:val="auto"/>
          <w:sz w:val="24"/>
          <w:highlight w:val="none"/>
        </w:rPr>
      </w:pPr>
      <w:r>
        <w:rPr>
          <w:rFonts w:hint="eastAsia" w:ascii="仿宋" w:hAnsi="仿宋" w:eastAsia="仿宋" w:cs="仿宋"/>
          <w:b/>
          <w:color w:val="auto"/>
          <w:sz w:val="24"/>
          <w:szCs w:val="24"/>
          <w:highlight w:val="none"/>
        </w:rPr>
        <w:t>5.1</w:t>
      </w:r>
      <w:r>
        <w:rPr>
          <w:rFonts w:hint="eastAsia" w:ascii="仿宋" w:hAnsi="仿宋" w:eastAsia="仿宋" w:cs="仿宋"/>
          <w:b/>
          <w:color w:val="auto"/>
          <w:sz w:val="24"/>
          <w:highlight w:val="none"/>
        </w:rPr>
        <w:t>各项评分标准：</w:t>
      </w:r>
    </w:p>
    <w:p>
      <w:pPr>
        <w:numPr>
          <w:ilvl w:val="0"/>
          <w:numId w:val="27"/>
        </w:numPr>
        <w:tabs>
          <w:tab w:val="left" w:pos="709"/>
        </w:tabs>
        <w:spacing w:line="360" w:lineRule="auto"/>
        <w:ind w:left="709" w:firstLine="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价格</w:t>
      </w:r>
      <w:r>
        <w:rPr>
          <w:rFonts w:hint="eastAsia" w:ascii="仿宋" w:hAnsi="仿宋" w:eastAsia="仿宋" w:cs="仿宋"/>
          <w:b/>
          <w:bCs/>
          <w:color w:val="auto"/>
          <w:sz w:val="24"/>
          <w:szCs w:val="24"/>
          <w:highlight w:val="none"/>
          <w:lang w:val="en-US" w:eastAsia="zh-CN"/>
        </w:rPr>
        <w:t>部分</w:t>
      </w: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0</w:t>
      </w:r>
      <w:r>
        <w:rPr>
          <w:rFonts w:hint="eastAsia" w:ascii="仿宋" w:hAnsi="仿宋" w:eastAsia="仿宋" w:cs="仿宋"/>
          <w:b/>
          <w:bCs/>
          <w:color w:val="auto"/>
          <w:sz w:val="24"/>
          <w:szCs w:val="24"/>
          <w:highlight w:val="none"/>
        </w:rPr>
        <w:t>分）</w:t>
      </w:r>
    </w:p>
    <w:p>
      <w:pPr>
        <w:spacing w:line="360" w:lineRule="auto"/>
        <w:ind w:firstLine="56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本项目价格权值为</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%，采用低价优先法计算，即满足招标文件要求且投标价格最低的投标报价为评标基准价，其价格分为满分。其他投标供应商的价格分统一按照下列公式计算：</w:t>
      </w:r>
    </w:p>
    <w:p>
      <w:pPr>
        <w:spacing w:line="360" w:lineRule="auto"/>
        <w:ind w:firstLine="56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投标报价得分=（评标基准价／投标报价）×价格权值×100。</w:t>
      </w:r>
    </w:p>
    <w:p>
      <w:pPr>
        <w:spacing w:line="360" w:lineRule="auto"/>
        <w:ind w:firstLine="56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pPr>
        <w:spacing w:line="360" w:lineRule="auto"/>
        <w:ind w:firstLine="56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价格扣除：①对小型和微型企业报价给予10%的扣除，用扣除后的价格参与评审。参加投标的中小企业，应当按照《政府采购促进中小企业发展管理办法》（财库〔2020〕46号）的规定提供《中小企业声明函》（格式见附件，中标供应商享受《政府采购促进中小企业发展管理办法》规定的中小企业扶持政策的，其《中小企业声明函》将随中标公告进行公示）。中小企业划型标准详见《关于印发中小企业划型标准规定的通知》工信部联企业〔2011〕300号）。</w:t>
      </w:r>
    </w:p>
    <w:p>
      <w:pPr>
        <w:spacing w:line="360" w:lineRule="auto"/>
        <w:ind w:firstLine="56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②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pPr>
        <w:spacing w:line="360" w:lineRule="auto"/>
        <w:ind w:firstLine="56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p>
    <w:p>
      <w:pPr>
        <w:spacing w:line="360" w:lineRule="auto"/>
        <w:ind w:firstLine="56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同一投标供应商，上述三项价格扣除优惠不得重复享受。</w:t>
      </w:r>
    </w:p>
    <w:p>
      <w:pPr>
        <w:numPr>
          <w:ilvl w:val="0"/>
          <w:numId w:val="27"/>
        </w:numPr>
        <w:tabs>
          <w:tab w:val="left" w:pos="709"/>
        </w:tabs>
        <w:spacing w:line="360" w:lineRule="auto"/>
        <w:ind w:left="709" w:firstLine="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商务</w:t>
      </w:r>
      <w:r>
        <w:rPr>
          <w:rFonts w:hint="eastAsia" w:ascii="仿宋" w:hAnsi="仿宋" w:eastAsia="仿宋" w:cs="仿宋"/>
          <w:b/>
          <w:bCs/>
          <w:color w:val="auto"/>
          <w:sz w:val="24"/>
          <w:szCs w:val="24"/>
          <w:highlight w:val="none"/>
          <w:lang w:val="en-US" w:eastAsia="zh-CN"/>
        </w:rPr>
        <w:t>部分</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20</w:t>
      </w:r>
      <w:r>
        <w:rPr>
          <w:rFonts w:hint="eastAsia" w:ascii="仿宋" w:hAnsi="仿宋" w:eastAsia="仿宋" w:cs="仿宋"/>
          <w:b/>
          <w:bCs/>
          <w:color w:val="auto"/>
          <w:sz w:val="24"/>
          <w:szCs w:val="24"/>
          <w:highlight w:val="none"/>
        </w:rPr>
        <w:t>分）</w:t>
      </w:r>
    </w:p>
    <w:p>
      <w:pPr>
        <w:spacing w:line="360" w:lineRule="auto"/>
        <w:ind w:left="2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2.1</w:t>
      </w:r>
      <w:r>
        <w:rPr>
          <w:rFonts w:hint="eastAsia" w:ascii="仿宋" w:hAnsi="仿宋" w:eastAsia="仿宋" w:cs="仿宋"/>
          <w:b/>
          <w:color w:val="auto"/>
          <w:sz w:val="24"/>
          <w:szCs w:val="24"/>
          <w:highlight w:val="none"/>
        </w:rPr>
        <w:t>业绩（</w:t>
      </w: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24"/>
          <w:highlight w:val="none"/>
        </w:rPr>
        <w:t>分）</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年1月1日以来具有</w:t>
      </w:r>
      <w:r>
        <w:rPr>
          <w:rFonts w:hint="eastAsia" w:ascii="仿宋" w:hAnsi="仿宋" w:eastAsia="仿宋" w:cs="仿宋"/>
          <w:color w:val="auto"/>
          <w:sz w:val="24"/>
          <w:szCs w:val="24"/>
          <w:highlight w:val="none"/>
          <w:lang w:eastAsia="zh-CN"/>
        </w:rPr>
        <w:t>大型转运站运行管理经验</w:t>
      </w:r>
      <w:r>
        <w:rPr>
          <w:rFonts w:hint="eastAsia" w:ascii="仿宋" w:hAnsi="仿宋" w:eastAsia="仿宋" w:cs="仿宋"/>
          <w:color w:val="auto"/>
          <w:sz w:val="24"/>
          <w:szCs w:val="24"/>
          <w:highlight w:val="none"/>
        </w:rPr>
        <w:t>的每个得</w:t>
      </w: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分，最多得6分。</w:t>
      </w:r>
    </w:p>
    <w:p>
      <w:pPr>
        <w:spacing w:line="360" w:lineRule="auto"/>
        <w:ind w:firstLine="48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注：投标时提供合同及中标通知书原件扫描件加盖电子签章上传至投标系统相应模块中，如合同不能明确体现服务内容及签订日期的，不得分。</w:t>
      </w:r>
    </w:p>
    <w:p>
      <w:pPr>
        <w:spacing w:line="360" w:lineRule="auto"/>
        <w:ind w:left="2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2.2管理体系认证（3分）</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供应商具有有效期内的质量管理体系认证证书、环境管理体系认证证书、职业健康安全管理体系认证证书的；每有一个证书得1分，本项最高3分。</w:t>
      </w:r>
    </w:p>
    <w:p>
      <w:pPr>
        <w:spacing w:line="360" w:lineRule="auto"/>
        <w:ind w:firstLine="48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注：</w:t>
      </w:r>
      <w:r>
        <w:rPr>
          <w:rFonts w:hint="eastAsia" w:ascii="仿宋" w:hAnsi="仿宋" w:eastAsia="仿宋" w:cs="仿宋"/>
          <w:b/>
          <w:bCs/>
          <w:color w:val="auto"/>
          <w:sz w:val="24"/>
          <w:szCs w:val="24"/>
          <w:highlight w:val="none"/>
        </w:rPr>
        <w:t>投标时需提供认证证书原件扫描件和“全国认证认可信息公共服务平台”http://cx.cnca.cn 查询截图并加盖投标供应商公章上传至投标系统中；未按要求提供的不得分</w:t>
      </w:r>
    </w:p>
    <w:p>
      <w:pPr>
        <w:spacing w:line="360" w:lineRule="auto"/>
        <w:ind w:firstLine="361"/>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2.3环卫信息化管理平台（</w:t>
      </w:r>
      <w:r>
        <w:rPr>
          <w:rFonts w:hint="eastAsia" w:ascii="仿宋" w:hAnsi="仿宋" w:eastAsia="仿宋" w:cs="仿宋"/>
          <w:b/>
          <w:color w:val="auto"/>
          <w:sz w:val="24"/>
          <w:szCs w:val="24"/>
          <w:highlight w:val="none"/>
          <w:lang w:val="en-US" w:eastAsia="zh-CN"/>
        </w:rPr>
        <w:t>4分</w:t>
      </w:r>
      <w:r>
        <w:rPr>
          <w:rFonts w:hint="eastAsia" w:ascii="仿宋" w:hAnsi="仿宋" w:eastAsia="仿宋" w:cs="仿宋"/>
          <w:b/>
          <w:color w:val="auto"/>
          <w:sz w:val="24"/>
          <w:szCs w:val="24"/>
          <w:highlight w:val="none"/>
          <w:lang w:eastAsia="zh-CN"/>
        </w:rPr>
        <w:t>）</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具有环卫信息化管理平台（具备人员、车辆实时定位模块、车辆历史轨迹模块、安全预警模块、视频监控模块）具备1项得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分，最多得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pPr>
        <w:spacing w:line="360" w:lineRule="auto"/>
        <w:ind w:firstLine="36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注：投标时须提供环卫信息化管理系统的合同及相关模块功能截图扫描件加盖电子签章上传至投标系统相应模块中。</w:t>
      </w:r>
    </w:p>
    <w:p>
      <w:pPr>
        <w:spacing w:line="360" w:lineRule="auto"/>
        <w:ind w:firstLine="36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2.4</w:t>
      </w:r>
      <w:r>
        <w:rPr>
          <w:rFonts w:hint="eastAsia" w:ascii="仿宋" w:hAnsi="仿宋" w:eastAsia="仿宋" w:cs="仿宋"/>
          <w:b/>
          <w:color w:val="auto"/>
          <w:sz w:val="24"/>
          <w:szCs w:val="24"/>
          <w:highlight w:val="none"/>
        </w:rPr>
        <w:t>项目管理机构配备（</w:t>
      </w:r>
      <w:r>
        <w:rPr>
          <w:rFonts w:hint="eastAsia" w:ascii="仿宋" w:hAnsi="仿宋" w:eastAsia="仿宋" w:cs="仿宋"/>
          <w:b/>
          <w:color w:val="auto"/>
          <w:sz w:val="24"/>
          <w:szCs w:val="24"/>
          <w:highlight w:val="none"/>
          <w:lang w:val="en-US" w:eastAsia="zh-CN"/>
        </w:rPr>
        <w:t>7</w:t>
      </w:r>
      <w:r>
        <w:rPr>
          <w:rFonts w:hint="eastAsia" w:ascii="仿宋" w:hAnsi="仿宋" w:eastAsia="仿宋" w:cs="仿宋"/>
          <w:b/>
          <w:color w:val="auto"/>
          <w:sz w:val="24"/>
          <w:szCs w:val="24"/>
          <w:highlight w:val="none"/>
        </w:rPr>
        <w:t>分）</w:t>
      </w:r>
    </w:p>
    <w:p>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项目负责人具有垃圾大型转运站运营管理工作3年及以上经验的得2分；具有相关专业（电气、环境保护/环境工程/市容环卫、机械、给排水、计算机类、经济类）中级及以上职称（职称证书未能体现相关专业的，需提供毕业证书，以毕业证书专业为准）的得2分。</w:t>
      </w:r>
    </w:p>
    <w:p>
      <w:pPr>
        <w:spacing w:line="360" w:lineRule="auto"/>
        <w:ind w:firstLine="361"/>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注：需提供项目负责人职称证书、从业经验证明、业绩及其在投标单位近三个月中任意一个月（不含投标当月）的社保缴费证明扫描件加盖电子签章上传至投标系统相应模块中，如投标供应商为新成立企业，则提供自公司成立以来至最近一个月依法缴纳社会保障资金的相关材料。未按要求提供资料的不得分。</w:t>
      </w:r>
    </w:p>
    <w:p>
      <w:pPr>
        <w:numPr>
          <w:ilvl w:val="0"/>
          <w:numId w:val="0"/>
        </w:num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sz w:val="24"/>
          <w:szCs w:val="24"/>
          <w:highlight w:val="none"/>
          <w:lang w:val="en-US" w:eastAsia="zh-CN"/>
        </w:rPr>
        <w:t>供应商拟派的其他人员（项目负责人除外）具有相关专业（电气、环境保护/环境工程/市容环卫、机械、给排水、计算机类、经济类）中级及以上职称（职称证书未能体现相关专业的，需提供毕业证书，以毕业证书专业为准）的有1个得1分；供应商具有特种设备、电工或汽车维修工证书的，有1个得0.5分，本项最高得3分。</w:t>
      </w:r>
    </w:p>
    <w:p>
      <w:pPr>
        <w:spacing w:line="360" w:lineRule="auto"/>
        <w:ind w:firstLine="361"/>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注：需提供人员的证书及其在投标单位近三个月中任意一个月（不含投标当月）的社保缴费证明扫描件加盖电子签章上传至投标系统相应模块中，如投标供应商为新成立企业，则提供自公司成立以来至最近一个月依法缴纳社会保障资金的相关材料，同一人员有多项证书的不重复得分。未按要求提供资料的不得分。</w:t>
      </w:r>
    </w:p>
    <w:p>
      <w:pPr>
        <w:tabs>
          <w:tab w:val="left" w:pos="709"/>
        </w:tabs>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color w:val="auto"/>
          <w:sz w:val="24"/>
          <w:szCs w:val="24"/>
          <w:highlight w:val="none"/>
          <w:lang w:val="en-US" w:eastAsia="zh-CN"/>
        </w:rPr>
        <w:t>服务方案</w:t>
      </w:r>
      <w:r>
        <w:rPr>
          <w:rFonts w:hint="eastAsia" w:ascii="仿宋" w:hAnsi="仿宋" w:eastAsia="仿宋" w:cs="仿宋"/>
          <w:b/>
          <w:bCs/>
          <w:color w:val="auto"/>
          <w:sz w:val="24"/>
          <w:szCs w:val="24"/>
          <w:highlight w:val="none"/>
        </w:rPr>
        <w:t>（暗标</w:t>
      </w:r>
      <w:r>
        <w:rPr>
          <w:rFonts w:hint="eastAsia" w:ascii="仿宋" w:hAnsi="仿宋" w:eastAsia="仿宋" w:cs="仿宋"/>
          <w:b/>
          <w:bCs/>
          <w:color w:val="auto"/>
          <w:sz w:val="24"/>
          <w:szCs w:val="24"/>
          <w:highlight w:val="none"/>
          <w:lang w:val="en-US" w:eastAsia="zh-CN"/>
        </w:rPr>
        <w:t>60</w:t>
      </w:r>
      <w:r>
        <w:rPr>
          <w:rFonts w:hint="eastAsia" w:ascii="仿宋" w:hAnsi="仿宋" w:eastAsia="仿宋" w:cs="仿宋"/>
          <w:b/>
          <w:bCs/>
          <w:color w:val="auto"/>
          <w:sz w:val="24"/>
          <w:szCs w:val="24"/>
          <w:highlight w:val="none"/>
        </w:rPr>
        <w:t>分）</w:t>
      </w:r>
    </w:p>
    <w:p>
      <w:pPr>
        <w:keepNext w:val="0"/>
        <w:keepLines w:val="0"/>
        <w:pageBreakBefore w:val="0"/>
        <w:widowControl/>
        <w:numPr>
          <w:ilvl w:val="0"/>
          <w:numId w:val="28"/>
        </w:numPr>
        <w:tabs>
          <w:tab w:val="left" w:pos="426"/>
        </w:tabs>
        <w:spacing w:line="360" w:lineRule="auto"/>
        <w:ind w:left="142" w:firstLine="283"/>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项目整体服务方案（</w:t>
      </w:r>
      <w:r>
        <w:rPr>
          <w:rFonts w:hint="eastAsia" w:ascii="仿宋" w:hAnsi="仿宋" w:eastAsia="仿宋" w:cs="仿宋"/>
          <w:b/>
          <w:bCs/>
          <w:color w:val="auto"/>
          <w:sz w:val="24"/>
          <w:szCs w:val="24"/>
          <w:highlight w:val="none"/>
          <w:lang w:val="en-US" w:eastAsia="zh-CN"/>
        </w:rPr>
        <w:t>12</w:t>
      </w:r>
      <w:r>
        <w:rPr>
          <w:rFonts w:hint="eastAsia" w:ascii="仿宋" w:hAnsi="仿宋" w:eastAsia="仿宋" w:cs="仿宋"/>
          <w:b/>
          <w:bCs/>
          <w:color w:val="auto"/>
          <w:sz w:val="24"/>
          <w:szCs w:val="24"/>
          <w:highlight w:val="none"/>
        </w:rPr>
        <w:t>分）：</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①针对本项目的整体工作计划及工作衔接</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bidi="ar"/>
        </w:rPr>
        <w:t>②针对本项目的整体服务设想</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val="en-US" w:eastAsia="zh-CN" w:bidi="ar"/>
        </w:rPr>
        <w:t>③</w:t>
      </w:r>
      <w:r>
        <w:rPr>
          <w:rFonts w:hint="eastAsia" w:ascii="仿宋" w:hAnsi="仿宋" w:eastAsia="仿宋" w:cs="仿宋"/>
          <w:color w:val="auto"/>
          <w:sz w:val="24"/>
          <w:szCs w:val="24"/>
          <w:highlight w:val="none"/>
          <w:lang w:bidi="ar"/>
        </w:rPr>
        <w:t>近期转运站运行服务目标</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tabs>
          <w:tab w:val="left" w:pos="945"/>
        </w:tabs>
        <w:spacing w:line="440" w:lineRule="exact"/>
        <w:ind w:firstLine="48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rPr>
        <w:t>投标供应商针对上述内容进行阐述，要求阐述内容完全符合本项目需求。以上内容</w:t>
      </w:r>
      <w:r>
        <w:rPr>
          <w:rFonts w:hint="eastAsia" w:ascii="仿宋" w:hAnsi="仿宋" w:eastAsia="仿宋" w:cs="仿宋"/>
          <w:b/>
          <w:color w:val="auto"/>
          <w:sz w:val="24"/>
          <w:highlight w:val="none"/>
          <w:lang w:val="en-US" w:eastAsia="zh-CN"/>
        </w:rPr>
        <w:t>完整翔实，工艺技术合理可靠，针对性强，完全符合本项目需求，得4分</w:t>
      </w:r>
      <w:r>
        <w:rPr>
          <w:rFonts w:hint="eastAsia" w:ascii="仿宋" w:hAnsi="仿宋" w:eastAsia="仿宋" w:cs="仿宋"/>
          <w:b/>
          <w:color w:val="auto"/>
          <w:sz w:val="24"/>
          <w:highlight w:val="none"/>
        </w:rPr>
        <w:t>；以上内容</w:t>
      </w:r>
      <w:r>
        <w:rPr>
          <w:rFonts w:hint="eastAsia" w:ascii="仿宋" w:hAnsi="仿宋" w:eastAsia="仿宋" w:cs="仿宋"/>
          <w:b/>
          <w:color w:val="auto"/>
          <w:sz w:val="24"/>
          <w:highlight w:val="none"/>
          <w:lang w:val="en-US" w:eastAsia="zh-CN"/>
        </w:rPr>
        <w:t>完整，工艺技术可行，符合本项目需求，得2分</w:t>
      </w:r>
      <w:r>
        <w:rPr>
          <w:rFonts w:hint="eastAsia" w:ascii="仿宋" w:hAnsi="仿宋" w:eastAsia="仿宋" w:cs="仿宋"/>
          <w:b/>
          <w:color w:val="auto"/>
          <w:sz w:val="24"/>
          <w:highlight w:val="none"/>
        </w:rPr>
        <w:t>；未进行阐述或不满足采购需求的该条得0分；本项最高得</w:t>
      </w:r>
      <w:r>
        <w:rPr>
          <w:rFonts w:hint="eastAsia" w:ascii="仿宋" w:hAnsi="仿宋" w:eastAsia="仿宋" w:cs="仿宋"/>
          <w:b/>
          <w:color w:val="auto"/>
          <w:sz w:val="24"/>
          <w:highlight w:val="none"/>
          <w:lang w:val="en-US" w:eastAsia="zh-CN"/>
        </w:rPr>
        <w:t>12</w:t>
      </w:r>
      <w:r>
        <w:rPr>
          <w:rFonts w:hint="eastAsia" w:ascii="仿宋" w:hAnsi="仿宋" w:eastAsia="仿宋" w:cs="仿宋"/>
          <w:b/>
          <w:color w:val="auto"/>
          <w:sz w:val="24"/>
          <w:highlight w:val="none"/>
        </w:rPr>
        <w:t>分。</w:t>
      </w:r>
    </w:p>
    <w:p>
      <w:pPr>
        <w:spacing w:line="360" w:lineRule="auto"/>
        <w:ind w:firstLine="48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针对本项目的运营管理方案</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16分</w:t>
      </w:r>
      <w:r>
        <w:rPr>
          <w:rFonts w:hint="eastAsia" w:ascii="仿宋" w:hAnsi="仿宋" w:eastAsia="仿宋" w:cs="仿宋"/>
          <w:b/>
          <w:bCs/>
          <w:color w:val="auto"/>
          <w:sz w:val="24"/>
          <w:szCs w:val="24"/>
          <w:highlight w:val="none"/>
          <w:lang w:eastAsia="zh-CN"/>
        </w:rPr>
        <w:t>）</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①</w:t>
      </w:r>
      <w:r>
        <w:rPr>
          <w:rFonts w:hint="eastAsia" w:ascii="仿宋" w:hAnsi="仿宋" w:eastAsia="仿宋" w:cs="仿宋"/>
          <w:color w:val="auto"/>
          <w:sz w:val="24"/>
          <w:szCs w:val="24"/>
          <w:highlight w:val="none"/>
          <w:lang w:bidi="ar"/>
        </w:rPr>
        <w:t>设施设备操作方案</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②</w:t>
      </w:r>
      <w:r>
        <w:rPr>
          <w:rFonts w:hint="eastAsia" w:ascii="仿宋" w:hAnsi="仿宋" w:eastAsia="仿宋" w:cs="仿宋"/>
          <w:color w:val="auto"/>
          <w:sz w:val="24"/>
          <w:szCs w:val="24"/>
          <w:highlight w:val="none"/>
          <w:lang w:bidi="ar"/>
        </w:rPr>
        <w:t>转运车辆管理方案</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③</w:t>
      </w:r>
      <w:r>
        <w:rPr>
          <w:rFonts w:hint="eastAsia" w:ascii="仿宋" w:hAnsi="仿宋" w:eastAsia="仿宋" w:cs="仿宋"/>
          <w:color w:val="auto"/>
          <w:sz w:val="24"/>
          <w:szCs w:val="24"/>
          <w:highlight w:val="none"/>
          <w:lang w:bidi="ar"/>
        </w:rPr>
        <w:t>污水处理工艺系统运行方案</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④</w:t>
      </w:r>
      <w:r>
        <w:rPr>
          <w:rFonts w:hint="eastAsia" w:ascii="仿宋" w:hAnsi="仿宋" w:eastAsia="仿宋" w:cs="仿宋"/>
          <w:color w:val="auto"/>
          <w:sz w:val="24"/>
          <w:szCs w:val="24"/>
          <w:highlight w:val="none"/>
          <w:lang w:bidi="ar"/>
        </w:rPr>
        <w:t>除尘除臭及消杀处理方案</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tabs>
          <w:tab w:val="left" w:pos="945"/>
        </w:tabs>
        <w:spacing w:line="440" w:lineRule="exact"/>
        <w:ind w:firstLine="48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投标供应商针对上述内容进行阐述，要求阐述内容完全符合本项目需求。以上内容</w:t>
      </w:r>
      <w:r>
        <w:rPr>
          <w:rFonts w:hint="eastAsia" w:ascii="仿宋" w:hAnsi="仿宋" w:eastAsia="仿宋" w:cs="仿宋"/>
          <w:b/>
          <w:color w:val="auto"/>
          <w:sz w:val="24"/>
          <w:highlight w:val="none"/>
          <w:lang w:val="en-US" w:eastAsia="zh-CN"/>
        </w:rPr>
        <w:t>完整翔实，工艺技术合理可靠，针对性强，完全符合本项目需求，得4分</w:t>
      </w:r>
      <w:r>
        <w:rPr>
          <w:rFonts w:hint="eastAsia" w:ascii="仿宋" w:hAnsi="仿宋" w:eastAsia="仿宋" w:cs="仿宋"/>
          <w:b/>
          <w:color w:val="auto"/>
          <w:sz w:val="24"/>
          <w:highlight w:val="none"/>
        </w:rPr>
        <w:t>；以上内容</w:t>
      </w:r>
      <w:r>
        <w:rPr>
          <w:rFonts w:hint="eastAsia" w:ascii="仿宋" w:hAnsi="仿宋" w:eastAsia="仿宋" w:cs="仿宋"/>
          <w:b/>
          <w:color w:val="auto"/>
          <w:sz w:val="24"/>
          <w:highlight w:val="none"/>
          <w:lang w:val="en-US" w:eastAsia="zh-CN"/>
        </w:rPr>
        <w:t>完整，工艺技术可行，符合本项目需求，得2分</w:t>
      </w:r>
      <w:r>
        <w:rPr>
          <w:rFonts w:hint="eastAsia" w:ascii="仿宋" w:hAnsi="仿宋" w:eastAsia="仿宋" w:cs="仿宋"/>
          <w:b/>
          <w:color w:val="auto"/>
          <w:sz w:val="24"/>
          <w:highlight w:val="none"/>
        </w:rPr>
        <w:t>；未进行阐述或不满足采购需求的该条得0分；本项最高得</w:t>
      </w:r>
      <w:r>
        <w:rPr>
          <w:rFonts w:hint="eastAsia" w:ascii="仿宋" w:hAnsi="仿宋" w:eastAsia="仿宋" w:cs="仿宋"/>
          <w:b/>
          <w:color w:val="auto"/>
          <w:sz w:val="24"/>
          <w:highlight w:val="none"/>
          <w:lang w:val="en-US" w:eastAsia="zh-CN"/>
        </w:rPr>
        <w:t>16</w:t>
      </w:r>
      <w:r>
        <w:rPr>
          <w:rFonts w:hint="eastAsia" w:ascii="仿宋" w:hAnsi="仿宋" w:eastAsia="仿宋" w:cs="仿宋"/>
          <w:b/>
          <w:color w:val="auto"/>
          <w:sz w:val="24"/>
          <w:highlight w:val="none"/>
        </w:rPr>
        <w:t>分</w:t>
      </w:r>
      <w:r>
        <w:rPr>
          <w:rFonts w:hint="eastAsia" w:ascii="仿宋" w:hAnsi="仿宋" w:eastAsia="仿宋" w:cs="仿宋"/>
          <w:b/>
          <w:color w:val="auto"/>
          <w:sz w:val="24"/>
          <w:highlight w:val="none"/>
          <w:lang w:eastAsia="zh-CN"/>
        </w:rPr>
        <w:t>。</w:t>
      </w:r>
    </w:p>
    <w:p>
      <w:pPr>
        <w:numPr>
          <w:ilvl w:val="0"/>
          <w:numId w:val="29"/>
        </w:numPr>
        <w:spacing w:line="360" w:lineRule="auto"/>
        <w:ind w:firstLine="480"/>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lang w:val="en-US" w:eastAsia="zh-CN"/>
        </w:rPr>
        <w:t>日常管理标准及措施</w:t>
      </w:r>
      <w:r>
        <w:rPr>
          <w:rFonts w:hint="eastAsia" w:ascii="仿宋" w:hAnsi="仿宋" w:eastAsia="仿宋" w:cs="仿宋"/>
          <w:b/>
          <w:bCs/>
          <w:color w:val="auto"/>
          <w:sz w:val="24"/>
          <w:szCs w:val="22"/>
          <w:highlight w:val="none"/>
        </w:rPr>
        <w:t>（8分）：</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bidi="ar"/>
        </w:rPr>
        <w:t>①安全生产及事故防范措施</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②质量管理标准和措施</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tabs>
          <w:tab w:val="left" w:pos="945"/>
        </w:tabs>
        <w:spacing w:line="440" w:lineRule="exact"/>
        <w:ind w:firstLine="48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投标供应商针对上述内容进行阐述，要求阐述内容完全符合本项目需求。以上内容</w:t>
      </w:r>
      <w:r>
        <w:rPr>
          <w:rFonts w:hint="eastAsia" w:ascii="仿宋" w:hAnsi="仿宋" w:eastAsia="仿宋" w:cs="仿宋"/>
          <w:b/>
          <w:color w:val="auto"/>
          <w:sz w:val="24"/>
          <w:highlight w:val="none"/>
          <w:lang w:val="en-US" w:eastAsia="zh-CN"/>
        </w:rPr>
        <w:t>完整翔实，工艺技术合理可靠，针对性强，完全符合本项目需求，得4分</w:t>
      </w:r>
      <w:r>
        <w:rPr>
          <w:rFonts w:hint="eastAsia" w:ascii="仿宋" w:hAnsi="仿宋" w:eastAsia="仿宋" w:cs="仿宋"/>
          <w:b/>
          <w:color w:val="auto"/>
          <w:sz w:val="24"/>
          <w:highlight w:val="none"/>
        </w:rPr>
        <w:t>；以上内容</w:t>
      </w:r>
      <w:r>
        <w:rPr>
          <w:rFonts w:hint="eastAsia" w:ascii="仿宋" w:hAnsi="仿宋" w:eastAsia="仿宋" w:cs="仿宋"/>
          <w:b/>
          <w:color w:val="auto"/>
          <w:sz w:val="24"/>
          <w:highlight w:val="none"/>
          <w:lang w:val="en-US" w:eastAsia="zh-CN"/>
        </w:rPr>
        <w:t>完整，工艺技术可行，符合本项目需求，得2分</w:t>
      </w:r>
      <w:r>
        <w:rPr>
          <w:rFonts w:hint="eastAsia" w:ascii="仿宋" w:hAnsi="仿宋" w:eastAsia="仿宋" w:cs="仿宋"/>
          <w:b/>
          <w:color w:val="auto"/>
          <w:sz w:val="24"/>
          <w:highlight w:val="none"/>
        </w:rPr>
        <w:t>；未进行阐述或不满足采购需求的该条得0分；本项最高得</w:t>
      </w:r>
      <w:r>
        <w:rPr>
          <w:rFonts w:hint="eastAsia" w:ascii="仿宋" w:hAnsi="仿宋" w:eastAsia="仿宋" w:cs="仿宋"/>
          <w:b/>
          <w:color w:val="auto"/>
          <w:sz w:val="24"/>
          <w:highlight w:val="none"/>
          <w:lang w:val="en-US" w:eastAsia="zh-CN"/>
        </w:rPr>
        <w:t>8</w:t>
      </w:r>
      <w:r>
        <w:rPr>
          <w:rFonts w:hint="eastAsia" w:ascii="仿宋" w:hAnsi="仿宋" w:eastAsia="仿宋" w:cs="仿宋"/>
          <w:b/>
          <w:color w:val="auto"/>
          <w:sz w:val="24"/>
          <w:highlight w:val="none"/>
        </w:rPr>
        <w:t>分</w:t>
      </w:r>
      <w:r>
        <w:rPr>
          <w:rFonts w:hint="eastAsia" w:ascii="仿宋" w:hAnsi="仿宋" w:eastAsia="仿宋" w:cs="仿宋"/>
          <w:b/>
          <w:color w:val="auto"/>
          <w:sz w:val="24"/>
          <w:highlight w:val="none"/>
          <w:lang w:eastAsia="zh-CN"/>
        </w:rPr>
        <w:t>。</w:t>
      </w:r>
    </w:p>
    <w:p>
      <w:pPr>
        <w:numPr>
          <w:ilvl w:val="0"/>
          <w:numId w:val="29"/>
        </w:numPr>
        <w:spacing w:line="360" w:lineRule="auto"/>
        <w:ind w:left="0" w:firstLine="48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物资装备配备及维保使用方案</w:t>
      </w:r>
      <w:r>
        <w:rPr>
          <w:rFonts w:hint="eastAsia" w:ascii="仿宋" w:hAnsi="仿宋" w:eastAsia="仿宋" w:cs="仿宋"/>
          <w:b/>
          <w:bCs/>
          <w:color w:val="auto"/>
          <w:sz w:val="24"/>
          <w:szCs w:val="24"/>
          <w:highlight w:val="none"/>
        </w:rPr>
        <w:t>（8分）</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①</w:t>
      </w:r>
      <w:r>
        <w:rPr>
          <w:rFonts w:hint="eastAsia" w:ascii="仿宋" w:hAnsi="仿宋" w:eastAsia="仿宋" w:cs="仿宋"/>
          <w:color w:val="auto"/>
          <w:sz w:val="24"/>
          <w:szCs w:val="24"/>
          <w:highlight w:val="none"/>
          <w:lang w:bidi="ar"/>
        </w:rPr>
        <w:t>针对本项目的物资装备配备</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②</w:t>
      </w:r>
      <w:r>
        <w:rPr>
          <w:rFonts w:hint="eastAsia" w:ascii="仿宋" w:hAnsi="仿宋" w:eastAsia="仿宋" w:cs="仿宋"/>
          <w:color w:val="auto"/>
          <w:sz w:val="24"/>
          <w:szCs w:val="24"/>
          <w:highlight w:val="none"/>
          <w:lang w:bidi="ar"/>
        </w:rPr>
        <w:t>站内设备维护管理方案</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tabs>
          <w:tab w:val="left" w:pos="945"/>
        </w:tabs>
        <w:spacing w:line="440" w:lineRule="exact"/>
        <w:ind w:firstLine="480"/>
        <w:rPr>
          <w:rFonts w:hint="eastAsia" w:ascii="仿宋" w:hAnsi="仿宋" w:eastAsia="仿宋" w:cs="仿宋"/>
          <w:color w:val="auto"/>
          <w:sz w:val="24"/>
          <w:szCs w:val="24"/>
          <w:highlight w:val="none"/>
          <w:lang w:bidi="ar"/>
        </w:rPr>
      </w:pPr>
      <w:r>
        <w:rPr>
          <w:rFonts w:hint="eastAsia" w:ascii="仿宋" w:hAnsi="仿宋" w:eastAsia="仿宋" w:cs="仿宋"/>
          <w:b/>
          <w:color w:val="auto"/>
          <w:sz w:val="24"/>
          <w:highlight w:val="none"/>
        </w:rPr>
        <w:t>投标供应商针对上述内容进行阐述，要求阐述内容完全符合本项目需求。以上内容</w:t>
      </w:r>
      <w:r>
        <w:rPr>
          <w:rFonts w:hint="eastAsia" w:ascii="仿宋" w:hAnsi="仿宋" w:eastAsia="仿宋" w:cs="仿宋"/>
          <w:b/>
          <w:color w:val="auto"/>
          <w:sz w:val="24"/>
          <w:highlight w:val="none"/>
          <w:lang w:val="en-US" w:eastAsia="zh-CN"/>
        </w:rPr>
        <w:t>完整翔实，工艺技术合理可靠，针对性强，完全符合本项目需求，得4分</w:t>
      </w:r>
      <w:r>
        <w:rPr>
          <w:rFonts w:hint="eastAsia" w:ascii="仿宋" w:hAnsi="仿宋" w:eastAsia="仿宋" w:cs="仿宋"/>
          <w:b/>
          <w:color w:val="auto"/>
          <w:sz w:val="24"/>
          <w:highlight w:val="none"/>
        </w:rPr>
        <w:t>；以上内容</w:t>
      </w:r>
      <w:r>
        <w:rPr>
          <w:rFonts w:hint="eastAsia" w:ascii="仿宋" w:hAnsi="仿宋" w:eastAsia="仿宋" w:cs="仿宋"/>
          <w:b/>
          <w:color w:val="auto"/>
          <w:sz w:val="24"/>
          <w:highlight w:val="none"/>
          <w:lang w:val="en-US" w:eastAsia="zh-CN"/>
        </w:rPr>
        <w:t>完整，工艺技术可行，符合本项目需求，得2分</w:t>
      </w:r>
      <w:r>
        <w:rPr>
          <w:rFonts w:hint="eastAsia" w:ascii="仿宋" w:hAnsi="仿宋" w:eastAsia="仿宋" w:cs="仿宋"/>
          <w:b/>
          <w:color w:val="auto"/>
          <w:sz w:val="24"/>
          <w:highlight w:val="none"/>
        </w:rPr>
        <w:t>；未进行阐述或不满足采购需求的该条得0分；本项最高得</w:t>
      </w:r>
      <w:r>
        <w:rPr>
          <w:rFonts w:hint="eastAsia" w:ascii="仿宋" w:hAnsi="仿宋" w:eastAsia="仿宋" w:cs="仿宋"/>
          <w:b/>
          <w:color w:val="auto"/>
          <w:sz w:val="24"/>
          <w:highlight w:val="none"/>
          <w:lang w:val="en-US" w:eastAsia="zh-CN"/>
        </w:rPr>
        <w:t>8</w:t>
      </w:r>
      <w:r>
        <w:rPr>
          <w:rFonts w:hint="eastAsia" w:ascii="仿宋" w:hAnsi="仿宋" w:eastAsia="仿宋" w:cs="仿宋"/>
          <w:b/>
          <w:color w:val="auto"/>
          <w:sz w:val="24"/>
          <w:highlight w:val="none"/>
        </w:rPr>
        <w:t>分</w:t>
      </w:r>
      <w:r>
        <w:rPr>
          <w:rFonts w:hint="eastAsia" w:ascii="仿宋" w:hAnsi="仿宋" w:eastAsia="仿宋" w:cs="仿宋"/>
          <w:b/>
          <w:color w:val="auto"/>
          <w:sz w:val="24"/>
          <w:highlight w:val="none"/>
          <w:lang w:eastAsia="zh-CN"/>
        </w:rPr>
        <w:t>。</w:t>
      </w:r>
      <w:r>
        <w:rPr>
          <w:rFonts w:hint="eastAsia" w:ascii="仿宋" w:hAnsi="仿宋" w:eastAsia="仿宋" w:cs="仿宋"/>
          <w:color w:val="auto"/>
          <w:sz w:val="24"/>
          <w:szCs w:val="24"/>
          <w:highlight w:val="none"/>
          <w:lang w:bidi="ar"/>
        </w:rPr>
        <w:t xml:space="preserve">    </w:t>
      </w:r>
    </w:p>
    <w:p>
      <w:pPr>
        <w:numPr>
          <w:ilvl w:val="0"/>
          <w:numId w:val="29"/>
        </w:numPr>
        <w:spacing w:line="360" w:lineRule="auto"/>
        <w:ind w:left="0" w:firstLine="48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事故应急处理方案</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lang w:bidi="ar"/>
        </w:rPr>
        <w:t>8分</w:t>
      </w:r>
      <w:r>
        <w:rPr>
          <w:rFonts w:hint="eastAsia" w:ascii="仿宋" w:hAnsi="仿宋" w:eastAsia="仿宋" w:cs="仿宋"/>
          <w:b/>
          <w:bCs/>
          <w:color w:val="auto"/>
          <w:sz w:val="24"/>
          <w:szCs w:val="24"/>
          <w:highlight w:val="none"/>
        </w:rPr>
        <w:t>）：</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val="en-US" w:eastAsia="zh-CN" w:bidi="ar"/>
        </w:rPr>
        <w:t>①设备故障应急方案</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②突发事件应急方案</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4分</w:t>
      </w:r>
      <w:r>
        <w:rPr>
          <w:rFonts w:hint="eastAsia" w:ascii="仿宋" w:hAnsi="仿宋" w:eastAsia="仿宋" w:cs="仿宋"/>
          <w:color w:val="auto"/>
          <w:sz w:val="24"/>
          <w:szCs w:val="24"/>
          <w:highlight w:val="none"/>
          <w:lang w:eastAsia="zh-CN" w:bidi="ar"/>
        </w:rPr>
        <w:t>）</w:t>
      </w:r>
    </w:p>
    <w:p>
      <w:pPr>
        <w:tabs>
          <w:tab w:val="left" w:pos="945"/>
        </w:tabs>
        <w:spacing w:line="440" w:lineRule="exact"/>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b/>
          <w:color w:val="auto"/>
          <w:sz w:val="24"/>
          <w:highlight w:val="none"/>
        </w:rPr>
        <w:t>投标供应商针对上述内容进行阐述，要求阐述内容完全符合本项目需求。以上内容</w:t>
      </w:r>
      <w:r>
        <w:rPr>
          <w:rFonts w:hint="eastAsia" w:ascii="仿宋" w:hAnsi="仿宋" w:eastAsia="仿宋" w:cs="仿宋"/>
          <w:b/>
          <w:color w:val="auto"/>
          <w:sz w:val="24"/>
          <w:highlight w:val="none"/>
          <w:lang w:val="en-US" w:eastAsia="zh-CN"/>
        </w:rPr>
        <w:t>完整翔实，工艺技术合理可靠，针对性强，完全符合本项目需求，得4分</w:t>
      </w:r>
      <w:r>
        <w:rPr>
          <w:rFonts w:hint="eastAsia" w:ascii="仿宋" w:hAnsi="仿宋" w:eastAsia="仿宋" w:cs="仿宋"/>
          <w:b/>
          <w:color w:val="auto"/>
          <w:sz w:val="24"/>
          <w:highlight w:val="none"/>
        </w:rPr>
        <w:t>；以上内容</w:t>
      </w:r>
      <w:r>
        <w:rPr>
          <w:rFonts w:hint="eastAsia" w:ascii="仿宋" w:hAnsi="仿宋" w:eastAsia="仿宋" w:cs="仿宋"/>
          <w:b/>
          <w:color w:val="auto"/>
          <w:sz w:val="24"/>
          <w:highlight w:val="none"/>
          <w:lang w:val="en-US" w:eastAsia="zh-CN"/>
        </w:rPr>
        <w:t>完整，工艺技术可行，符合本项目需求，得2分</w:t>
      </w:r>
      <w:r>
        <w:rPr>
          <w:rFonts w:hint="eastAsia" w:ascii="仿宋" w:hAnsi="仿宋" w:eastAsia="仿宋" w:cs="仿宋"/>
          <w:b/>
          <w:color w:val="auto"/>
          <w:sz w:val="24"/>
          <w:highlight w:val="none"/>
        </w:rPr>
        <w:t>；未进行阐述或不满足采购需求的该条得0分；本项最高得</w:t>
      </w:r>
      <w:r>
        <w:rPr>
          <w:rFonts w:hint="eastAsia" w:ascii="仿宋" w:hAnsi="仿宋" w:eastAsia="仿宋" w:cs="仿宋"/>
          <w:b/>
          <w:color w:val="auto"/>
          <w:sz w:val="24"/>
          <w:highlight w:val="none"/>
          <w:lang w:val="en-US" w:eastAsia="zh-CN"/>
        </w:rPr>
        <w:t>8</w:t>
      </w:r>
      <w:r>
        <w:rPr>
          <w:rFonts w:hint="eastAsia" w:ascii="仿宋" w:hAnsi="仿宋" w:eastAsia="仿宋" w:cs="仿宋"/>
          <w:b/>
          <w:color w:val="auto"/>
          <w:sz w:val="24"/>
          <w:highlight w:val="none"/>
        </w:rPr>
        <w:t xml:space="preserve">分。 </w:t>
      </w:r>
      <w:r>
        <w:rPr>
          <w:rFonts w:hint="eastAsia" w:ascii="仿宋" w:hAnsi="仿宋" w:eastAsia="仿宋" w:cs="仿宋"/>
          <w:color w:val="auto"/>
          <w:sz w:val="24"/>
          <w:szCs w:val="24"/>
          <w:highlight w:val="none"/>
          <w:lang w:bidi="ar"/>
        </w:rPr>
        <w:t xml:space="preserve"> </w:t>
      </w:r>
    </w:p>
    <w:p>
      <w:pPr>
        <w:spacing w:line="360" w:lineRule="auto"/>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6）针对本项目提供的人员配置情况</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分）</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①针对本项目的劳动力投入计划及人员管理制度（2分）</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②作业人员培训方案（2分）</w:t>
      </w:r>
    </w:p>
    <w:p>
      <w:pPr>
        <w:tabs>
          <w:tab w:val="left" w:pos="945"/>
        </w:tabs>
        <w:spacing w:line="440" w:lineRule="exact"/>
        <w:ind w:firstLine="480"/>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rPr>
        <w:t>投标供应商针对上述内容进行阐述，要求阐述内容完全符合本项目需求。以上内容</w:t>
      </w:r>
      <w:r>
        <w:rPr>
          <w:rFonts w:hint="eastAsia" w:ascii="仿宋" w:hAnsi="仿宋" w:eastAsia="仿宋" w:cs="仿宋"/>
          <w:b/>
          <w:color w:val="auto"/>
          <w:sz w:val="24"/>
          <w:highlight w:val="none"/>
          <w:lang w:val="en-US" w:eastAsia="zh-CN"/>
        </w:rPr>
        <w:t>完整翔实，工艺技术合理可靠，针对性强，完全符合本项目需求，得2分</w:t>
      </w:r>
      <w:r>
        <w:rPr>
          <w:rFonts w:hint="eastAsia" w:ascii="仿宋" w:hAnsi="仿宋" w:eastAsia="仿宋" w:cs="仿宋"/>
          <w:b/>
          <w:color w:val="auto"/>
          <w:sz w:val="24"/>
          <w:highlight w:val="none"/>
        </w:rPr>
        <w:t>；以上内容</w:t>
      </w:r>
      <w:r>
        <w:rPr>
          <w:rFonts w:hint="eastAsia" w:ascii="仿宋" w:hAnsi="仿宋" w:eastAsia="仿宋" w:cs="仿宋"/>
          <w:b/>
          <w:color w:val="auto"/>
          <w:sz w:val="24"/>
          <w:highlight w:val="none"/>
          <w:lang w:val="en-US" w:eastAsia="zh-CN"/>
        </w:rPr>
        <w:t>完整，工艺技术可行，符合本项目需求，得1分</w:t>
      </w:r>
      <w:r>
        <w:rPr>
          <w:rFonts w:hint="eastAsia" w:ascii="仿宋" w:hAnsi="仿宋" w:eastAsia="仿宋" w:cs="仿宋"/>
          <w:b/>
          <w:color w:val="auto"/>
          <w:sz w:val="24"/>
          <w:highlight w:val="none"/>
        </w:rPr>
        <w:t>；未进行阐述或不满足采购需求的该条得0分；本项最高得</w:t>
      </w:r>
      <w:r>
        <w:rPr>
          <w:rFonts w:hint="eastAsia" w:ascii="仿宋" w:hAnsi="仿宋" w:eastAsia="仿宋" w:cs="仿宋"/>
          <w:b/>
          <w:color w:val="auto"/>
          <w:sz w:val="24"/>
          <w:highlight w:val="none"/>
          <w:lang w:val="en-US" w:eastAsia="zh-CN"/>
        </w:rPr>
        <w:t>4</w:t>
      </w:r>
      <w:r>
        <w:rPr>
          <w:rFonts w:hint="eastAsia" w:ascii="仿宋" w:hAnsi="仿宋" w:eastAsia="仿宋" w:cs="仿宋"/>
          <w:b/>
          <w:color w:val="auto"/>
          <w:sz w:val="24"/>
          <w:highlight w:val="none"/>
        </w:rPr>
        <w:t xml:space="preserve">分。  </w:t>
      </w:r>
    </w:p>
    <w:p>
      <w:pPr>
        <w:numPr>
          <w:ilvl w:val="-1"/>
          <w:numId w:val="0"/>
        </w:numPr>
        <w:spacing w:line="360" w:lineRule="auto"/>
        <w:ind w:left="480" w:firstLine="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7）管理重点难点和措施（4分）</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①本项目管理方面的重点难点（2分）</w:t>
      </w:r>
    </w:p>
    <w:p>
      <w:pPr>
        <w:keepNext w:val="0"/>
        <w:keepLines w:val="0"/>
        <w:pageBreakBefore w:val="0"/>
        <w:widowControl/>
        <w:numPr>
          <w:ilvl w:val="0"/>
          <w:numId w:val="0"/>
        </w:numPr>
        <w:tabs>
          <w:tab w:val="left" w:pos="426"/>
        </w:tabs>
        <w:spacing w:line="360" w:lineRule="auto"/>
        <w:ind w:left="425"/>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②针对本项目的管理措施（2分）</w:t>
      </w:r>
    </w:p>
    <w:p>
      <w:pPr>
        <w:tabs>
          <w:tab w:val="left" w:pos="945"/>
        </w:tabs>
        <w:spacing w:line="440" w:lineRule="exact"/>
        <w:ind w:firstLine="480"/>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rPr>
        <w:t>投标供应商针对上述内容进行阐述，要求阐述内容完全符合本项目需求。以上内容</w:t>
      </w:r>
      <w:r>
        <w:rPr>
          <w:rFonts w:hint="eastAsia" w:ascii="仿宋" w:hAnsi="仿宋" w:eastAsia="仿宋" w:cs="仿宋"/>
          <w:b/>
          <w:color w:val="auto"/>
          <w:sz w:val="24"/>
          <w:highlight w:val="none"/>
          <w:lang w:val="en-US" w:eastAsia="zh-CN"/>
        </w:rPr>
        <w:t>完整翔实，工艺技术合理可靠，针对性强，完全符合本项目需求，得2分</w:t>
      </w:r>
      <w:r>
        <w:rPr>
          <w:rFonts w:hint="eastAsia" w:ascii="仿宋" w:hAnsi="仿宋" w:eastAsia="仿宋" w:cs="仿宋"/>
          <w:b/>
          <w:color w:val="auto"/>
          <w:sz w:val="24"/>
          <w:highlight w:val="none"/>
        </w:rPr>
        <w:t>；以上内容</w:t>
      </w:r>
      <w:r>
        <w:rPr>
          <w:rFonts w:hint="eastAsia" w:ascii="仿宋" w:hAnsi="仿宋" w:eastAsia="仿宋" w:cs="仿宋"/>
          <w:b/>
          <w:color w:val="auto"/>
          <w:sz w:val="24"/>
          <w:highlight w:val="none"/>
          <w:lang w:val="en-US" w:eastAsia="zh-CN"/>
        </w:rPr>
        <w:t>完整，工艺技术可行，符合本项目需求，得1分</w:t>
      </w:r>
      <w:r>
        <w:rPr>
          <w:rFonts w:hint="eastAsia" w:ascii="仿宋" w:hAnsi="仿宋" w:eastAsia="仿宋" w:cs="仿宋"/>
          <w:b/>
          <w:color w:val="auto"/>
          <w:sz w:val="24"/>
          <w:highlight w:val="none"/>
        </w:rPr>
        <w:t>；未进行阐述或不满足采购需求的该条得0分；本项最高得</w:t>
      </w:r>
      <w:r>
        <w:rPr>
          <w:rFonts w:hint="eastAsia" w:ascii="仿宋" w:hAnsi="仿宋" w:eastAsia="仿宋" w:cs="仿宋"/>
          <w:b/>
          <w:color w:val="auto"/>
          <w:sz w:val="24"/>
          <w:highlight w:val="none"/>
          <w:lang w:val="en-US" w:eastAsia="zh-CN"/>
        </w:rPr>
        <w:t>4</w:t>
      </w:r>
      <w:r>
        <w:rPr>
          <w:rFonts w:hint="eastAsia" w:ascii="仿宋" w:hAnsi="仿宋" w:eastAsia="仿宋" w:cs="仿宋"/>
          <w:b/>
          <w:color w:val="auto"/>
          <w:sz w:val="24"/>
          <w:highlight w:val="none"/>
        </w:rPr>
        <w:t xml:space="preserve">分。  </w:t>
      </w:r>
    </w:p>
    <w:p>
      <w:pPr>
        <w:spacing w:line="360" w:lineRule="auto"/>
        <w:ind w:firstLine="48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5.2评分说明</w:t>
      </w:r>
    </w:p>
    <w:p>
      <w:pPr>
        <w:spacing w:line="360" w:lineRule="auto"/>
        <w:ind w:firstLine="48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5.2.1未列入本评分办法的其他条件不作为评分内容。</w:t>
      </w:r>
    </w:p>
    <w:p>
      <w:pPr>
        <w:spacing w:line="360" w:lineRule="auto"/>
        <w:ind w:firstLine="48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5.2.2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的中标候选人，评分办法的解释权</w:t>
      </w:r>
      <w:r>
        <w:rPr>
          <w:rFonts w:hint="eastAsia" w:ascii="仿宋" w:hAnsi="仿宋" w:eastAsia="仿宋" w:cs="仿宋"/>
          <w:color w:val="auto"/>
          <w:sz w:val="24"/>
          <w:szCs w:val="22"/>
          <w:highlight w:val="none"/>
          <w:lang w:eastAsia="zh-CN"/>
        </w:rPr>
        <w:t>属于</w:t>
      </w:r>
      <w:r>
        <w:rPr>
          <w:rFonts w:hint="eastAsia" w:ascii="仿宋" w:hAnsi="仿宋" w:eastAsia="仿宋" w:cs="仿宋"/>
          <w:color w:val="auto"/>
          <w:sz w:val="24"/>
          <w:szCs w:val="22"/>
          <w:highlight w:val="none"/>
        </w:rPr>
        <w:t>采购人。</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（十）定标：</w:t>
      </w:r>
    </w:p>
    <w:p>
      <w:pPr>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评标委员会根据招标文件规定的评标方法和评标标准进行评审，按招标文件的要求依法推荐中标候选供应商。自评审结束之日起2个工作日内将评审报告送交采购人。采购人自收到评审报告之日起5个工作日内按招标文件的要求，在评审报告推荐的中标候选供应商中，依法确定中标供应商。</w:t>
      </w:r>
    </w:p>
    <w:p>
      <w:pPr>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2.</w:t>
      </w:r>
      <w:r>
        <w:rPr>
          <w:rFonts w:hint="eastAsia" w:ascii="仿宋" w:hAnsi="仿宋" w:eastAsia="仿宋" w:cs="仿宋"/>
          <w:bCs/>
          <w:color w:val="auto"/>
          <w:sz w:val="24"/>
          <w:highlight w:val="none"/>
        </w:rPr>
        <w:t>采购代理机构自中标供应商确定之日起2个工作日内，发出中标通知书，并在江苏政府采购网发布中标结果公告。如有质疑，投标供应商按中华人民共和国财政部令【第94号】《政府采购质疑和投诉办法》第十二条规定提交资料：投标供应商提出质疑应当提交质疑函和必要的证明材料。质疑函应当包括下列内容： （一）投标供应商的姓名或者名称、地址、邮编、联系人及联系电话；（二）质疑项目的名称、编号； （三）具体、明确的质疑事项和与质疑事项相关的请求；（四）事实依据；（五）必要的法律依据；（六）提出质疑的日期。投标供应商为自然人的，应当由本人签字；投标供应商为法人或者其他组织的，应当由法定代表人、主要负责人，或者其授权代表签字或者盖章，并加盖公章。并按《中华人民共和国政府采购法》《政府采购货物和服务招标投标管理办法》《政府采购质疑和投诉办法》《关于印发〈政府采购质疑处理流程〉的通知》（苏财购〔2018〕86号）等有关法规处理。</w:t>
      </w:r>
    </w:p>
    <w:p>
      <w:pPr>
        <w:spacing w:line="360" w:lineRule="auto"/>
        <w:ind w:firstLine="480"/>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eastAsia="zh-CN"/>
        </w:rPr>
        <w:t>3.</w:t>
      </w:r>
      <w:r>
        <w:rPr>
          <w:rFonts w:hint="eastAsia" w:ascii="仿宋" w:hAnsi="仿宋" w:eastAsia="仿宋" w:cs="仿宋"/>
          <w:bCs/>
          <w:color w:val="auto"/>
          <w:sz w:val="24"/>
          <w:highlight w:val="none"/>
        </w:rPr>
        <w:t>投标、开标及定标的整个过程均接受市政府采购监管部门的监督</w:t>
      </w:r>
      <w:r>
        <w:rPr>
          <w:rFonts w:hint="eastAsia" w:ascii="仿宋" w:hAnsi="仿宋" w:eastAsia="仿宋" w:cs="仿宋"/>
          <w:bCs/>
          <w:color w:val="auto"/>
          <w:sz w:val="24"/>
          <w:highlight w:val="none"/>
          <w:lang w:eastAsia="zh-CN"/>
        </w:rPr>
        <w:t>。</w:t>
      </w:r>
    </w:p>
    <w:p>
      <w:pPr>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4.</w:t>
      </w:r>
      <w:r>
        <w:rPr>
          <w:rFonts w:hint="eastAsia" w:ascii="仿宋" w:hAnsi="仿宋" w:eastAsia="仿宋" w:cs="仿宋"/>
          <w:bCs/>
          <w:color w:val="auto"/>
          <w:sz w:val="24"/>
          <w:highlight w:val="none"/>
        </w:rPr>
        <w:t>在发布中标公告的同时，</w:t>
      </w:r>
      <w:r>
        <w:rPr>
          <w:rFonts w:hint="eastAsia" w:ascii="仿宋" w:hAnsi="仿宋" w:eastAsia="仿宋" w:cs="仿宋"/>
          <w:bCs/>
          <w:color w:val="auto"/>
          <w:sz w:val="24"/>
          <w:highlight w:val="none"/>
          <w:lang w:eastAsia="zh-CN"/>
        </w:rPr>
        <w:t>江苏通汇工程管理咨询有限公司</w:t>
      </w:r>
      <w:r>
        <w:rPr>
          <w:rFonts w:hint="eastAsia" w:ascii="仿宋" w:hAnsi="仿宋" w:eastAsia="仿宋" w:cs="仿宋"/>
          <w:bCs/>
          <w:color w:val="auto"/>
          <w:sz w:val="24"/>
          <w:highlight w:val="none"/>
        </w:rPr>
        <w:t xml:space="preserve">将向中标供应商发出中标通知书。 </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（十一）废标的确认：</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在招标采购中，出现下列情况之一的，应予废标：</w:t>
      </w:r>
    </w:p>
    <w:p>
      <w:pPr>
        <w:numPr>
          <w:ilvl w:val="0"/>
          <w:numId w:val="30"/>
        </w:numPr>
        <w:tabs>
          <w:tab w:val="left" w:pos="525"/>
          <w:tab w:val="left" w:pos="945"/>
          <w:tab w:val="left" w:pos="1260"/>
        </w:tabs>
        <w:spacing w:line="360" w:lineRule="auto"/>
        <w:ind w:left="0" w:firstLine="525"/>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符合专业条件的投标人或者对招标文件作出实质性响应的投标人不足三家；</w:t>
      </w:r>
    </w:p>
    <w:p>
      <w:pPr>
        <w:numPr>
          <w:ilvl w:val="0"/>
          <w:numId w:val="30"/>
        </w:numPr>
        <w:tabs>
          <w:tab w:val="left" w:pos="525"/>
          <w:tab w:val="left" w:pos="945"/>
          <w:tab w:val="left" w:pos="1260"/>
        </w:tabs>
        <w:spacing w:line="360" w:lineRule="auto"/>
        <w:ind w:left="0" w:firstLine="525"/>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出现影响采购公正的违法、违规行为；</w:t>
      </w:r>
    </w:p>
    <w:p>
      <w:pPr>
        <w:numPr>
          <w:ilvl w:val="0"/>
          <w:numId w:val="30"/>
        </w:numPr>
        <w:tabs>
          <w:tab w:val="left" w:pos="525"/>
          <w:tab w:val="left" w:pos="945"/>
          <w:tab w:val="left" w:pos="1260"/>
        </w:tabs>
        <w:spacing w:line="360" w:lineRule="auto"/>
        <w:ind w:left="0" w:firstLine="525"/>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投标人的报价均超过采购预算，采购人不能支付的；</w:t>
      </w:r>
    </w:p>
    <w:p>
      <w:pPr>
        <w:numPr>
          <w:ilvl w:val="0"/>
          <w:numId w:val="30"/>
        </w:numPr>
        <w:tabs>
          <w:tab w:val="left" w:pos="525"/>
          <w:tab w:val="left" w:pos="945"/>
          <w:tab w:val="left" w:pos="1260"/>
        </w:tabs>
        <w:spacing w:line="360" w:lineRule="auto"/>
        <w:ind w:left="0" w:firstLine="525"/>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因重大变故，采购任务取消。</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（十二）投标保证金：</w:t>
      </w:r>
    </w:p>
    <w:p>
      <w:pPr>
        <w:tabs>
          <w:tab w:val="left" w:pos="735"/>
          <w:tab w:val="left" w:pos="945"/>
          <w:tab w:val="left" w:pos="1155"/>
        </w:tabs>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rPr>
        <w:t>本项目无</w:t>
      </w:r>
      <w:r>
        <w:rPr>
          <w:rFonts w:hint="eastAsia" w:ascii="仿宋" w:hAnsi="仿宋" w:eastAsia="仿宋" w:cs="仿宋"/>
          <w:color w:val="auto"/>
          <w:sz w:val="24"/>
          <w:highlight w:val="none"/>
          <w:lang w:eastAsia="zh-CN"/>
        </w:rPr>
        <w:t>需</w:t>
      </w:r>
      <w:r>
        <w:rPr>
          <w:rFonts w:hint="eastAsia" w:ascii="仿宋" w:hAnsi="仿宋" w:eastAsia="仿宋" w:cs="仿宋"/>
          <w:color w:val="auto"/>
          <w:sz w:val="24"/>
          <w:highlight w:val="none"/>
        </w:rPr>
        <w:t>缴纳</w:t>
      </w:r>
      <w:r>
        <w:rPr>
          <w:rFonts w:hint="eastAsia" w:ascii="仿宋" w:hAnsi="仿宋" w:eastAsia="仿宋" w:cs="仿宋"/>
          <w:color w:val="auto"/>
          <w:sz w:val="24"/>
          <w:szCs w:val="24"/>
          <w:highlight w:val="none"/>
        </w:rPr>
        <w:t>投标保证金。</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（十三）中标无效的确认：</w:t>
      </w:r>
    </w:p>
    <w:p>
      <w:pPr>
        <w:tabs>
          <w:tab w:val="left" w:pos="420"/>
          <w:tab w:val="left" w:pos="945"/>
          <w:tab w:val="left" w:pos="1155"/>
        </w:tabs>
        <w:spacing w:line="360" w:lineRule="auto"/>
        <w:ind w:left="5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1.提供虚假材料谋取中标的；</w:t>
      </w:r>
    </w:p>
    <w:p>
      <w:pPr>
        <w:tabs>
          <w:tab w:val="left" w:pos="420"/>
          <w:tab w:val="left" w:pos="945"/>
          <w:tab w:val="left" w:pos="1155"/>
        </w:tabs>
        <w:spacing w:line="360" w:lineRule="auto"/>
        <w:ind w:left="5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2.采取不正当手段诋毁、排挤其他投标人的；</w:t>
      </w:r>
    </w:p>
    <w:p>
      <w:pPr>
        <w:tabs>
          <w:tab w:val="left" w:pos="420"/>
          <w:tab w:val="left" w:pos="945"/>
          <w:tab w:val="left" w:pos="1155"/>
        </w:tabs>
        <w:spacing w:line="360" w:lineRule="auto"/>
        <w:ind w:left="5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3.与招标采购单位、其他投标人恶意串通的；</w:t>
      </w:r>
    </w:p>
    <w:p>
      <w:pPr>
        <w:tabs>
          <w:tab w:val="left" w:pos="420"/>
          <w:tab w:val="left" w:pos="945"/>
          <w:tab w:val="left" w:pos="1155"/>
        </w:tabs>
        <w:spacing w:line="360" w:lineRule="auto"/>
        <w:ind w:left="5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4.向招标采购单位行贿或者提供其他不正当利益的；</w:t>
      </w:r>
    </w:p>
    <w:p>
      <w:pPr>
        <w:tabs>
          <w:tab w:val="left" w:pos="420"/>
          <w:tab w:val="left" w:pos="945"/>
          <w:tab w:val="left" w:pos="1155"/>
        </w:tabs>
        <w:spacing w:line="360" w:lineRule="auto"/>
        <w:ind w:left="5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5.在招标过程中与招标采购单位进行协商谈判、不按照招标文件和中标供应商的投标文件订立合同，或者与采购人另行订立背离合同实质性内容的协议的；</w:t>
      </w:r>
    </w:p>
    <w:p>
      <w:pPr>
        <w:tabs>
          <w:tab w:val="left" w:pos="420"/>
          <w:tab w:val="left" w:pos="945"/>
          <w:tab w:val="left" w:pos="1155"/>
        </w:tabs>
        <w:spacing w:line="360" w:lineRule="auto"/>
        <w:ind w:left="5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6.拒绝有关部门监督检查或者提供虚假情况的。</w:t>
      </w:r>
    </w:p>
    <w:p>
      <w:pPr>
        <w:tabs>
          <w:tab w:val="left" w:pos="945"/>
        </w:tabs>
        <w:spacing w:line="360" w:lineRule="auto"/>
        <w:ind w:firstLine="480"/>
        <w:rPr>
          <w:rFonts w:hint="eastAsia" w:ascii="仿宋" w:hAnsi="仿宋" w:eastAsia="仿宋" w:cs="仿宋"/>
          <w:bCs/>
          <w:color w:val="auto"/>
          <w:sz w:val="24"/>
          <w:szCs w:val="24"/>
          <w:highlight w:val="none"/>
        </w:rPr>
      </w:pPr>
      <w:bookmarkStart w:id="21" w:name="_Toc140592340"/>
      <w:r>
        <w:rPr>
          <w:rFonts w:hint="eastAsia" w:ascii="仿宋" w:hAnsi="仿宋" w:eastAsia="仿宋" w:cs="仿宋"/>
          <w:bCs/>
          <w:color w:val="auto"/>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（十四）签订、履行合同：</w:t>
      </w:r>
    </w:p>
    <w:p>
      <w:pPr>
        <w:numPr>
          <w:ilvl w:val="0"/>
          <w:numId w:val="31"/>
        </w:numPr>
        <w:tabs>
          <w:tab w:val="left" w:pos="525"/>
          <w:tab w:val="left" w:pos="1050"/>
        </w:tabs>
        <w:spacing w:line="360" w:lineRule="auto"/>
        <w:ind w:left="0" w:firstLine="63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人应当自中标通知书发出之日起三十日内按照招标文件和中标投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采购代理机构见证后生效。</w:t>
      </w:r>
    </w:p>
    <w:p>
      <w:pPr>
        <w:numPr>
          <w:ilvl w:val="0"/>
          <w:numId w:val="31"/>
        </w:numPr>
        <w:tabs>
          <w:tab w:val="left" w:pos="525"/>
          <w:tab w:val="left" w:pos="1050"/>
        </w:tabs>
        <w:spacing w:line="360" w:lineRule="auto"/>
        <w:ind w:left="0" w:firstLine="63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本项目无须提交履约保证金。</w:t>
      </w:r>
    </w:p>
    <w:p>
      <w:pPr>
        <w:numPr>
          <w:ilvl w:val="0"/>
          <w:numId w:val="31"/>
        </w:numPr>
        <w:tabs>
          <w:tab w:val="left" w:pos="525"/>
          <w:tab w:val="left" w:pos="1050"/>
        </w:tabs>
        <w:spacing w:line="360" w:lineRule="auto"/>
        <w:ind w:left="0" w:firstLine="63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江苏通汇工程管理咨询有限公司</w:t>
      </w:r>
      <w:r>
        <w:rPr>
          <w:rFonts w:hint="eastAsia" w:ascii="仿宋" w:hAnsi="仿宋" w:eastAsia="仿宋" w:cs="仿宋"/>
          <w:bCs/>
          <w:color w:val="auto"/>
          <w:sz w:val="24"/>
          <w:szCs w:val="24"/>
          <w:highlight w:val="none"/>
        </w:rPr>
        <w:t>监督合同的履行。中标方非因不可抗力未履行招、投标文件和合同规定的义务，一经查实，招标代理机构将根据具体情况提请政府采购管理部门作出相应处理。</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（十五）代理服务费：</w:t>
      </w:r>
    </w:p>
    <w:p>
      <w:pPr>
        <w:spacing w:line="360" w:lineRule="auto"/>
        <w:ind w:firstLine="482"/>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1.本项目代理服务费由中标供应商领取中标通知书时向采购代理机构一次性付清</w:t>
      </w:r>
      <w:r>
        <w:rPr>
          <w:rFonts w:hint="eastAsia" w:ascii="仿宋" w:hAnsi="仿宋" w:eastAsia="仿宋" w:cs="仿宋"/>
          <w:b/>
          <w:color w:val="auto"/>
          <w:sz w:val="24"/>
          <w:szCs w:val="24"/>
          <w:highlight w:val="none"/>
          <w:lang w:eastAsia="zh-CN"/>
        </w:rPr>
        <w:t>，供应商报价应当包含代理费。</w:t>
      </w:r>
    </w:p>
    <w:p>
      <w:pPr>
        <w:spacing w:line="360" w:lineRule="auto"/>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2.本项目服务费按照差额定律累进计费方式计算，以中标金额为计费基础，按</w:t>
      </w: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sz w:val="24"/>
          <w:szCs w:val="24"/>
          <w:highlight w:val="none"/>
        </w:rPr>
        <w:t>收费标准计取</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 xml:space="preserve"> </w:t>
      </w:r>
    </w:p>
    <w:p>
      <w:pPr>
        <w:spacing w:line="360" w:lineRule="auto"/>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3.中标供应商如果未按规定缴纳代理服务费，采购代理机构将保留诉讼的权利。</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（十六）其他：</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招标文件的条款必须认真审阅，供应商应自行检查招标文件页数是否齐全。若有遗漏、重复或不清楚，需立刻通知采购人予以更正；凡属对条款的误解所造成的报价价格失误，由供应商负责。</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（十七）政府采购履约担保</w:t>
      </w:r>
    </w:p>
    <w:p>
      <w:pPr>
        <w:tabs>
          <w:tab w:val="left" w:pos="735"/>
        </w:tabs>
        <w:spacing w:line="360" w:lineRule="auto"/>
        <w:ind w:firstLine="48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p>
    <w:p>
      <w:pPr>
        <w:tabs>
          <w:tab w:val="left" w:pos="735"/>
        </w:tabs>
        <w:spacing w:line="360" w:lineRule="auto"/>
        <w:ind w:firstLine="48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tabs>
          <w:tab w:val="left" w:pos="735"/>
        </w:tabs>
        <w:spacing w:line="360" w:lineRule="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（十八）政府采购合同融资</w:t>
      </w:r>
    </w:p>
    <w:p>
      <w:pPr>
        <w:tabs>
          <w:tab w:val="left" w:pos="735"/>
        </w:tabs>
        <w:spacing w:line="360" w:lineRule="auto"/>
        <w:ind w:firstLine="48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spacing w:line="300" w:lineRule="auto"/>
        <w:jc w:val="center"/>
        <w:outlineLvl w:val="0"/>
        <w:rPr>
          <w:rFonts w:hint="eastAsia" w:ascii="仿宋" w:hAnsi="仿宋" w:eastAsia="仿宋" w:cs="仿宋"/>
          <w:b/>
          <w:bCs/>
          <w:color w:val="auto"/>
          <w:sz w:val="44"/>
          <w:szCs w:val="44"/>
          <w:highlight w:val="none"/>
        </w:rPr>
      </w:pPr>
      <w:bookmarkStart w:id="22" w:name="_Hlk211187497"/>
      <w:r>
        <w:rPr>
          <w:rFonts w:hint="eastAsia" w:ascii="仿宋" w:hAnsi="仿宋" w:eastAsia="仿宋" w:cs="仿宋"/>
          <w:color w:val="auto"/>
          <w:sz w:val="24"/>
          <w:szCs w:val="24"/>
          <w:highlight w:val="none"/>
        </w:rPr>
        <w:t>中标、成交供应商可根据自身情况，自行决定是否选择采用合同融资形式，在无锡政府采购网——政采贷专栏提供的银行名录内自主选择合作银行。具体事项详见《关于开展政府采购合同融资工作的通知》（http://cz.wuxi.gov.cn/doc/2020/11/20/3111344.shtml）。</w:t>
      </w:r>
      <w:bookmarkEnd w:id="22"/>
    </w:p>
    <w:p>
      <w:pPr>
        <w:spacing w:line="300" w:lineRule="auto"/>
        <w:jc w:val="center"/>
        <w:outlineLvl w:val="0"/>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br w:type="page" w:clear="all"/>
      </w:r>
      <w:r>
        <w:rPr>
          <w:rFonts w:hint="eastAsia" w:ascii="仿宋" w:hAnsi="仿宋" w:eastAsia="仿宋" w:cs="仿宋"/>
          <w:b/>
          <w:bCs/>
          <w:color w:val="auto"/>
          <w:sz w:val="44"/>
          <w:szCs w:val="44"/>
          <w:highlight w:val="none"/>
        </w:rPr>
        <w:t>第三部分   采购需求</w:t>
      </w:r>
    </w:p>
    <w:p>
      <w:pPr>
        <w:pStyle w:val="3"/>
        <w:pageBreakBefore w:val="0"/>
        <w:spacing w:before="0" w:after="0" w:line="360" w:lineRule="auto"/>
        <w:ind w:firstLine="480"/>
        <w:rPr>
          <w:rFonts w:hint="eastAsia" w:ascii="仿宋" w:hAnsi="仿宋" w:eastAsia="仿宋" w:cs="仿宋"/>
          <w:color w:val="auto"/>
          <w:sz w:val="24"/>
          <w:szCs w:val="24"/>
          <w:highlight w:val="none"/>
        </w:rPr>
      </w:pPr>
      <w:bookmarkStart w:id="23" w:name="_Toc140592342"/>
      <w:r>
        <w:rPr>
          <w:rFonts w:hint="eastAsia" w:ascii="仿宋" w:hAnsi="仿宋" w:eastAsia="仿宋" w:cs="仿宋"/>
          <w:color w:val="auto"/>
          <w:sz w:val="24"/>
          <w:szCs w:val="24"/>
          <w:highlight w:val="none"/>
        </w:rPr>
        <w:t>一、一标段项目需求和有关说明</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（一）采购标的需实现的功能或者目标，以及为落实政府采购政策需满足的要求</w:t>
      </w:r>
    </w:p>
    <w:p>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仿宋" w:hAnsi="仿宋" w:eastAsia="仿宋" w:cs="仿宋"/>
          <w:color w:val="auto"/>
          <w:kern w:val="0"/>
          <w:sz w:val="24"/>
          <w:szCs w:val="24"/>
        </w:rPr>
      </w:pPr>
      <w:r>
        <w:rPr>
          <w:rFonts w:hint="eastAsia" w:ascii="仿宋" w:hAnsi="仿宋" w:eastAsia="仿宋" w:cs="仿宋"/>
          <w:b/>
          <w:bCs/>
          <w:color w:val="auto"/>
          <w:kern w:val="0"/>
          <w:sz w:val="24"/>
          <w:szCs w:val="24"/>
        </w:rPr>
        <w:t>南长生活垃圾转运站（扬高路31号）</w:t>
      </w:r>
      <w:r>
        <w:rPr>
          <w:rFonts w:hint="eastAsia" w:ascii="仿宋" w:hAnsi="仿宋" w:eastAsia="仿宋" w:cs="仿宋"/>
          <w:color w:val="auto"/>
          <w:kern w:val="0"/>
          <w:sz w:val="24"/>
          <w:szCs w:val="24"/>
        </w:rPr>
        <w:t>，设计转运能力为500吨/日，主要设施设备包括生活垃圾转运系统、污水处理系统、除尘除臭处理系统及其他辅助配套系统。转运站运行服务的目标是垃圾日产日清，水、气、声、渣达标排放，设施设备保养到位，确保安全、环保、稳定运行。项目情况及具体招标要求如下：</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2"/>
          <w:sz w:val="24"/>
          <w:szCs w:val="24"/>
        </w:rPr>
        <w:t>1.</w:t>
      </w:r>
      <w:r>
        <w:rPr>
          <w:rFonts w:hint="eastAsia" w:ascii="仿宋" w:hAnsi="仿宋" w:eastAsia="仿宋" w:cs="仿宋"/>
          <w:color w:val="auto"/>
          <w:kern w:val="0"/>
          <w:sz w:val="24"/>
          <w:szCs w:val="24"/>
        </w:rPr>
        <w:t>服务内容</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主要为梁溪区南长片区（扬名街道和清名桥街道）范围内的所有生活垃圾（现指生活垃圾分类出的其他垃圾，下同）。生活垃圾由垃圾清运单位运输到转运站，经地磅称重后，垃圾经过压缩系统压缩后，集中转运至采购人指定的垃圾焚烧厂。转运站垃圾接收时间必须满足当天垃圾收集、转运需要；污水处理为24小时不间断运行，确保出水水质满足要求。转运站运行服务的目标是垃圾日产日清，水、气、声、渣达标排放，设施设备保养到位，确保安全、环保、稳定运行。</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2"/>
          <w:sz w:val="24"/>
          <w:szCs w:val="24"/>
        </w:rPr>
        <w:t>2.</w:t>
      </w:r>
      <w:r>
        <w:rPr>
          <w:rFonts w:hint="eastAsia" w:ascii="仿宋" w:hAnsi="仿宋" w:eastAsia="仿宋" w:cs="仿宋"/>
          <w:color w:val="auto"/>
          <w:kern w:val="0"/>
          <w:sz w:val="24"/>
          <w:szCs w:val="24"/>
        </w:rPr>
        <w:t>工艺流程</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生活垃圾转运工艺：收集车过磅→倾倒垃圾至料仓→垃圾压缩→打包至集装箱→转运车运至处理终端。</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污水处理工艺：调节池+混凝气浮+MBR+高级氧化+砂滤+活性炭。</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废气处理工艺：植物液喷淋除臭+离子新风除臭系统、隔离换气+化学洗涤塔+过滤器+UV光氧。</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危险废物全部委托有资质单位处理。生活垃圾、冲洗废水及污水处理系统产生的污泥等处理处置需符合相关环保政策以及技术规范、项目环评及批复的要求。转运站所有产出物的处置均需合规合法，费用由运行单位自行承担。</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3.运行管理</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3.1进站管理</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（1）垃圾收集车必须申请并审核通过后经自动识别系统进入转运站，且车容车貌和喷涂符合最新要求。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（2）严格把好垃圾进站关，严禁建筑、工业、医疗、危险、餐厨、放射性废弃物、大件垃圾、废水、废液等进入转运站。</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（3）操作人员应随机检查进站垃圾成分。禁止将易燃、易爆、腐蚀性化学品以及其他危险材料放入压缩箱。</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（4）运行单位应做好垃圾计量、转运车辆GPS联网、地磅联网、监控联网等工作，并按有关规定定期检验地磅计量误差。</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（5）每天定时传送报表和管理数据，计量系统出现故障需第一时间通知采购人，并在采购人许可的前提下方可实行人工记录。</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3.2 进站车辆调度</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（1）车辆进出站时，严禁故意在站内道路及场地上滞留，避免造成交通堵塞影响交通秩序。</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（2）引导垃圾收集车按照规定路线到达卸料口，在指定卸料口卸载垃圾。</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（3）作业高峰期间，卸料平台指挥员科学合理调度，确保畅通。</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（4）垃圾收集车进入卸料平台后，必须做到“一听、二停、三检查”（即听从作业平台管理人员的指挥、垃圾收集车必须停稳、卸料平台管理员检查车辆和所运垃圾的种类是否符合要求）后，方可倾倒垃圾。</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（5）引导垃圾收集车卸料完毕后，确保收集车后盖无残存垃圾夹带、后盖关闭完全后，按规定路线及时退出作业区。</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3.3 压缩作业</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（1）垃圾压缩设备应保持正常状态。设备异常时，严禁操作设备，避免人员伤亡和设备损坏。</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（2）倾倒垃圾前必须检查卸料区域和设备运转区域，确保无异常情况。</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（3）操作人员应按填装与压缩工艺技术要求操作，并保证工艺流程的稳定性和各工艺步骤的协调性。</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（4）当卸料槽或集装箱辅助装置损坏时，不得进行卸料作业。</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（5）卸料槽或集装箱入口堆满垃圾时，停止卸料，待垃圾被压缩至集装箱入口处有空间后方可继续卸料。</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（6）卸料槽或集装箱中发现大件垃圾、危险废物等非生活垃圾时，应在做好安全措施情况下，责令收集单位及时清除或采取紧急措施，并做好记录。</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（7）卸料时，压缩机对接与锁紧机构应保持完好。</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（8）在填装作业时压缩机的压头和滑动支架必须回到最末端时，才能进料。在填装或压缩作业时，工作人员不得靠近转运容器。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（9）转运容器装满后，应将容器封板关闭。</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（10）操作完毕后应及时清理作业区。</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11）操作垃圾压装设备、箱体移位装置之前，必须确认各部件的状态和显示屏所显示的信号是否一致；必须确认所操作设备周围有无其他无关人员或车辆，是否可能对操作造成干扰或发生事故的，要做到时刻注意安全，杜绝人为事故的发生。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（12）操作压装设备、箱体移位装置的工作中，不允许野蛮操作，发生故障后应立即停机检查，排除故障后才能再次进行操作。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（13）操作压装设备、箱体移位装置的工作完成后，必须对集装箱和压缩机结合部位进行有效的清洁：不允许挂有垃圾，有污垢的地方要清理，还要用水冲洗，要做到清洁美观，保证对接的顺利。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（14）在对转运车辆的辅助操作前，要停止压缩机和箱体移位装置的工作；现场工作人员要时刻注意转运车辆的工作状态，辅助转运车驾驶员，拉箱/放箱必须到位。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（15）每天工作结束后，要检查设备状态是否正常，各个机构状态是否正常，目测液压站及油路是否有漏油的情况。</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3.4 作业区保洁</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（1）保洁员着工作服、工作鞋上岗，严禁在卸料平台翻拣垃圾。</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（2）正确、规范、安全使用各种保洁工具，爱护工具。保洁工具保持整洁，规范有序摆放。</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（3）做到安全作业，按规定穿戴防护装备，保洁时注意避让车辆，确保自身安全。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（4）卸料大厅每两小时清理场地一次。</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（5）压缩作业完成后对转运车辆、转运容器及卸料槽每天清洗。</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（6）在压缩作业时，转运大厅保洁人员严禁进入卸料区保洁。</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（7）定期疏通管道，确保场地冲洗污水排放通畅。</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（8）定期对车间设备、作业工具、库房等进行保洁，确保设备上无尘土、污迹等。</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3.5 安全工作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（1）熟悉周边及站内环境，负责门卫、守护和巡逻，维护公共秩序，能正确使用各类消防、物防、技防器械。</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（2）处理治安及其他突发事件。</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（3）负责对进出转运站的人员及车辆进行登记，引导车辆有序停放，并禁止无权限的收集车进入作业区倾倒垃圾；</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（4）防盗、防火管理。积极主动地配合、服从采购人管理部门的临时应急调度。</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（5）保安工作实行24小时值勤制，保安工作规范严谨，定期组织演练，提高处置突发事件的能力，做好安全保卫和消防工作，确保转运站安全无事故，保障物资、财产及人员的安全。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3.6 转运车辆要求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（1）车辆应按采购人要求统一标志、外观整洁、整体密闭、性能良好。</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（2）GPS保持在线状态，接入无锡智慧环卫平台，并确保正常使用。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（3）车辆驾驶员要有驾驶转运车的资质，定期年检，并确保在有效期内。</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（4）车辆行驶过程中不超速、不超载，做到文明、安全行车。</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（5）车辆按规定路线行驶，途中不出现垃圾和污水抛、洒、滴、漏现象。</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（6）为车辆购买保险，并做好定期维护保养工作。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（7）车辆箱体应保持完好，做到密闭不漏水，密封圈定期更换。</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3.7 做好突发事件应对</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（1）编制突发事件应急预案，做好人员、物资保障措施。</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（2）做好恶劣气候应对工作，包括台风雨雪雾天等。</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3.8污水处理设备日常运行工作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提供转运站污水处理设备运行管理维护技术规范方案，做好日常操作工作及运行记录台账。安排相关资质的专业技术管理人员对污水处理设备进行日常运行操作和规范的维护检修，确保污水处理设备始终处于良好运行状态并能够以安全稳定的方式处理污水，出水水质达到环评批复要求。确保转运站每天的垃圾冲洗废水及时有效处理。按要求记录好污水处理运行维护的相关数据台账，保留基础数据。</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3.9除尘除臭处理设备日常运行工作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提供转运站除尘除臭处理设备运行管理维护技术规范方案，做好日常操作工作及运行记录台账。安排相关资质的专业技术管理人员对除尘除臭处理设备进行日常运行操作和规范的维护检修，确保除尘除臭设备始终处于良好运行状态并能够以安全稳定的方式处理臭气，臭气处理后达到环评批复要求。确保转运站每天的臭气及时有效处理，改善车间内的空气质量。按要求记录好除尘除臭系统运行维护的相关数据台账，保留基础数据。</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3.10 落实管理制度</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（1）有统一规范的垃圾进出站台账、操作台账等，记录清楚完整。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（2）建立健全自查自评制度，落实安全巡查制度，有记录日志，发现问题及时整改，每月至少自查一次并做记录。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（3）按规定时间开放，工作人员按时到岗，在岗在位。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（4）标识标牌配置齐全，作业规章、管理制度、安全制度上墙，整齐洁净。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（5）作业区域和办公区域分隔，严禁闲杂人员入站。</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（6）加强工作人员培训和管理，特种设备等专业技术岗位严格执行岗位操作规范。</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3.11 设施设备及车辆维护保养工作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定期按保养手册对站内设施设备进行维护保养，保养范围包括但不限于：压缩机、液压站、地磅、中控室、卷帘门、电控柜、除尘除臭设备、污水处理设备等；车辆维护保养范围为采购人提供给中标人的转运车辆。</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4.转运站人员配置、岗位职责</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具体岗位配置表如下表，站内人员配置不少于32人：</w:t>
      </w:r>
    </w:p>
    <w:tbl>
      <w:tblPr>
        <w:tblStyle w:val="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9"/>
        <w:gridCol w:w="1407"/>
        <w:gridCol w:w="4010"/>
        <w:gridCol w:w="2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岗位</w:t>
            </w:r>
          </w:p>
        </w:tc>
        <w:tc>
          <w:tcPr>
            <w:tcW w:w="70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人数</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岗位职责</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站长</w:t>
            </w:r>
          </w:p>
        </w:tc>
        <w:tc>
          <w:tcPr>
            <w:tcW w:w="70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掌握转运站的工艺流程、技术要求和压缩设备等设施、设备的主要技术指标及运行管理要求，熟悉计算机操作。负责整个转运站日常运行及转运车队管理工作。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副站长</w:t>
            </w:r>
          </w:p>
        </w:tc>
        <w:tc>
          <w:tcPr>
            <w:tcW w:w="70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配合站长做好各项工作。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安全员</w:t>
            </w:r>
          </w:p>
        </w:tc>
        <w:tc>
          <w:tcPr>
            <w:tcW w:w="70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负责站内各类安全管理工作。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该岗位可设专人，也可由其他岗位兼任。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转运车驾驶员</w:t>
            </w:r>
          </w:p>
        </w:tc>
        <w:tc>
          <w:tcPr>
            <w:tcW w:w="70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14</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负责垃圾转运运输工作。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中控室操作员</w:t>
            </w:r>
          </w:p>
        </w:tc>
        <w:tc>
          <w:tcPr>
            <w:tcW w:w="70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负责卸料大厅、出料装载区、站点全域监控及压缩机操作，并做好垃圾转运量、污水处理量、臭气运行情况等各项统计工作。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熟悉计算机操作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操作工</w:t>
            </w:r>
          </w:p>
        </w:tc>
        <w:tc>
          <w:tcPr>
            <w:tcW w:w="70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3</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负责站内设备操作工作。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机修工及电工</w:t>
            </w:r>
          </w:p>
        </w:tc>
        <w:tc>
          <w:tcPr>
            <w:tcW w:w="70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负责站内设备维修工作。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卸料平台指挥员</w:t>
            </w:r>
          </w:p>
        </w:tc>
        <w:tc>
          <w:tcPr>
            <w:tcW w:w="70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负责卸料平台指挥工作。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保洁员、门卫及保安员</w:t>
            </w:r>
          </w:p>
        </w:tc>
        <w:tc>
          <w:tcPr>
            <w:tcW w:w="70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6</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负责站内清洁卫生和车辆清洗工作、全天候对转运站进行看门及安保工作。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污水处理、除尘除臭系统操作人员</w:t>
            </w:r>
          </w:p>
        </w:tc>
        <w:tc>
          <w:tcPr>
            <w:tcW w:w="70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负责污水处理、除尘除臭系统日常运行工作。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bl>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备注：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（1）投标人需按照转运站人员配置进行报价。</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（2）工作时间可根据环境卫生作业实际情况调整。</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（3）对服务人员的要求及其他：不得违反《劳动法》相关规定</w:t>
      </w: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rPr>
        <w:t>投标供应商必须给上述人员按照国家及无锡市的有关规定支付工资和交纳保险等，且不得低于无锡市最低工资标准。中标人承担在合同服务期内发生的一切责任及事故赔偿。中标人所聘用的工作人员与采购人不存在劳动雇佣关系。</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（4）中标人必须对所派出的操作人员进行设备的操作培训，使其能进行独立操作。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运行操作人员应坚守岗位，定期检查设施、设备、仪器、仪表的运行情况，按规定要求操作使用各种机械设备、仪器、仪表，发现异常情况，应及时采取相应处理措施，并按照分级管理的原则及时上报。严禁非工作人员和未经培训的工作人员操作站内设施设备，避免因操作不当发生事故。</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转运站内各设施设备（含转运车辆）均为采购人所有，经营期间中标人工作人员必须遵守采购人的有关管理规定，并按有关国家安全操作规定进行作业，确保各类设施设备安全、环保运行，车辆安全作业；中标人工作人员如有违纪违法、发生工伤死亡、意外事故或环保责任等一切经济和法律责任由中标人自行负责，与采购人无关。</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5.满足生态环境部门排污单位自动监测监控联网（全联全控）要求。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6.落实安全生产主体责任，切实加强安全生产。</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7.其他相关要求：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投标供应商须按管理内容编制各类运行台账，并每日进行检查，发现问题及时整改。采购人对投标供应商各工作岗位的服务质量随时进行抽查。发现问题，及时书面通知整改，投标供应商将整改结果书面通知采购单位。</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（2）在项目实施过程中应要求服务人员加强劳动纪律，注重职业道德规范。</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（3）定期组织职工学习，提高职工业务素质。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（4）加强合作，积极做好各项应急保障工作，自觉接受各级部门的检查考核，如发现问题需及时整改。</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（5）作业时保证安全，发生各种意外事故，由投标供应商自行解决并承担相应的责任。</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（6）投标供应商接到责任范围内的投诉电话和新闻舆论监督曝光的，应在半小时内告知招标人，并在处理完毕后做好信息反馈。</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（7）投标供应商应确保做好转运站内所有设施设备的维护保养工作，确保所有设施设备正常运行，服务期满移交时，所有设施设备处于正常使用状态，如有故障，须由投标供应商负责维修恢复正常使用。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rPr>
        <w:t>（8）站内各类设施设备和转运车辆均为采购人名下资产，服务范围内的机械设备由采购人配备，投标供应商负责正常的维护维修保养，服务期结束后乙方要保证设备、设施的完好；大型转运站的房屋主体结构的维修不在投标供应商的维修范围内，但要保持墙体整洁；运行</w:t>
      </w:r>
      <w:r>
        <w:rPr>
          <w:rFonts w:hint="eastAsia" w:ascii="仿宋" w:hAnsi="仿宋" w:eastAsia="仿宋" w:cs="仿宋"/>
          <w:color w:val="auto"/>
          <w:kern w:val="0"/>
          <w:sz w:val="24"/>
          <w:szCs w:val="24"/>
          <w:highlight w:val="none"/>
        </w:rPr>
        <w:t>期限内产生的所有水电费、药剂费及各类易耗品均由投标供应商负责。</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（9）投标供应商应控制转运站渗滤液的产生量，原则上不超过7350吨/年，超出部分费用由投标供应商自理。</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（二）采购标的需执行的国家相关标准、行业标准、地方标准或者其他标准、规范</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符合《生活垃圾转运站技术规范》（CJJ/T 47-2016）、《生活垃圾收集运输技术规程》（CJJ205-2013）、《生活垃圾转运站运行维护技术规程》（CJJ 109-2023）、《无锡市生活垃圾转运站建设和运营管理导则》《无锡市生活垃圾转运站管理指导意见》。</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（三）采购标的需满足的质量、安全、技术规格、物理特性等要求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符合《转运站作业质量考核标准》中的考核内容要求，主要内容包括站容站貌、日常作业、设施设备配置和适用、其他等，具体以采购人确认为准。</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（四）采购标的的数量、采购项目交付或者实施的时间和地点</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南长生活垃圾转运站（扬高路31号）。</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（五）采购标的需满足的服务标准、期限、效率等要求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需满足《生活垃圾转运站技术规范》（CJJ/T 47-2016）、《生活垃圾收集运输技术规程》（CJJ205-2013）、《生活垃圾转运站运行维护技术规程》（CJJ 109-2023）、《无锡市生活垃圾转运站建设和运营管理导则》《无锡市生活垃圾转运站管理指导意见》和《转运站作业质量考核标准》等文件要求，做到垃圾日产日清，水、气、声、渣达标排放，设施设备保养到位，确保安全、环保、稳定运行。本项目服务期为自合同签订之日起2年，</w:t>
      </w:r>
      <w:r>
        <w:rPr>
          <w:rFonts w:hint="eastAsia" w:ascii="仿宋" w:hAnsi="仿宋" w:eastAsia="仿宋" w:cs="仿宋"/>
          <w:b/>
          <w:bCs/>
          <w:color w:val="auto"/>
          <w:kern w:val="0"/>
          <w:sz w:val="24"/>
          <w:szCs w:val="24"/>
          <w:highlight w:val="none"/>
        </w:rPr>
        <w:t>如遇转运站拆迁、停产改造、产权变更等不可抗力因素将终止本次服务</w:t>
      </w:r>
      <w:r>
        <w:rPr>
          <w:rFonts w:hint="eastAsia" w:ascii="仿宋" w:hAnsi="仿宋" w:eastAsia="仿宋" w:cs="仿宋"/>
          <w:color w:val="auto"/>
          <w:kern w:val="0"/>
          <w:sz w:val="24"/>
          <w:szCs w:val="24"/>
          <w:highlight w:val="none"/>
        </w:rPr>
        <w:t>。</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（六）采购标的的验收标准</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采购人每月对投标供应商进行考核，考核内容按照《转运站作业质量考核标准》进行，考核分数将与运行费用扣款挂钩，具体以采购人确认为准。</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（七）付款方式</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合同签订后，每3个月根据考核结果向中标人支付运行费用。</w:t>
      </w:r>
      <w:r>
        <w:rPr>
          <w:rFonts w:hint="eastAsia" w:ascii="仿宋" w:hAnsi="仿宋" w:eastAsia="仿宋" w:cs="仿宋"/>
          <w:b/>
          <w:bCs/>
          <w:color w:val="auto"/>
          <w:kern w:val="0"/>
          <w:sz w:val="24"/>
          <w:szCs w:val="24"/>
          <w:highlight w:val="none"/>
        </w:rPr>
        <w:t>该项目如遇转运站拆迁、停产改造、产权变更等不可抗因素终止服务，将根据该站实际运行管理时间折算运行费用。</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（八）采购标的的其他技术、服务等要求</w:t>
      </w:r>
    </w:p>
    <w:p>
      <w:pPr>
        <w:pageBreakBefore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rPr>
        <w:t>污水处理设备、除尘除臭处理设备日常运行工作允许分包，但均由总包单位负责统一协调和管理。总包单位须提前将承包方资质、人员等相关材料提交给采购人，并经采购人书面同意后方可进行分包。未经采购人同意，擅自将合同转让或进行分包的，采购人有权解除合同，同时乙方向采购人偿付违约金。进行处理、操作作业的承包方须具备相关资质以及人员并签订相关管理协议，明确各自的生产管理职责，并指定专职管理人员进行协调和检查。如因分包单位管理不力导致发生事故的，总包单位将承担管理责任和连带责任。</w:t>
      </w:r>
    </w:p>
    <w:p>
      <w:pPr>
        <w:pageBreakBefore w:val="0"/>
        <w:spacing w:line="360" w:lineRule="auto"/>
        <w:ind w:firstLine="480"/>
        <w:rPr>
          <w:rFonts w:hint="eastAsia" w:ascii="仿宋" w:hAnsi="仿宋" w:eastAsia="仿宋" w:cs="仿宋"/>
          <w:color w:val="auto"/>
          <w:sz w:val="24"/>
          <w:szCs w:val="24"/>
          <w:highlight w:val="none"/>
        </w:rPr>
      </w:pPr>
    </w:p>
    <w:p>
      <w:pPr>
        <w:pageBreakBefore w:val="0"/>
        <w:spacing w:line="360" w:lineRule="auto"/>
        <w:ind w:firstLine="480"/>
        <w:rPr>
          <w:rFonts w:hint="eastAsia" w:ascii="仿宋" w:hAnsi="仿宋" w:eastAsia="仿宋" w:cs="仿宋"/>
          <w:color w:val="auto"/>
          <w:sz w:val="24"/>
          <w:szCs w:val="24"/>
          <w:highlight w:val="none"/>
        </w:rPr>
      </w:pPr>
    </w:p>
    <w:p>
      <w:pPr>
        <w:pageBreakBefore w:val="0"/>
        <w:spacing w:line="360" w:lineRule="auto"/>
        <w:ind w:firstLine="480"/>
        <w:rPr>
          <w:rFonts w:hint="eastAsia" w:ascii="仿宋" w:hAnsi="仿宋" w:eastAsia="仿宋" w:cs="仿宋"/>
          <w:color w:val="auto"/>
          <w:sz w:val="24"/>
          <w:szCs w:val="24"/>
          <w:highlight w:val="none"/>
        </w:rPr>
      </w:pPr>
    </w:p>
    <w:p>
      <w:pPr>
        <w:pageBreakBefore w:val="0"/>
        <w:spacing w:line="360"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br w:type="page" w:clear="all"/>
      </w:r>
    </w:p>
    <w:p>
      <w:pPr>
        <w:pStyle w:val="3"/>
        <w:pageBreakBefore w:val="0"/>
        <w:spacing w:before="0" w:after="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二、二</w:t>
      </w:r>
      <w:r>
        <w:rPr>
          <w:rFonts w:hint="eastAsia" w:ascii="仿宋" w:hAnsi="仿宋" w:eastAsia="仿宋" w:cs="仿宋"/>
          <w:color w:val="auto"/>
          <w:sz w:val="24"/>
          <w:szCs w:val="24"/>
          <w:highlight w:val="none"/>
        </w:rPr>
        <w:t>标段项目需求和有关说明</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（一）采购标的需实现的功能或者目标，以及为落实政府采购政策需满足的要求</w:t>
      </w:r>
    </w:p>
    <w:p>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仿宋" w:hAnsi="仿宋" w:eastAsia="仿宋" w:cs="仿宋"/>
          <w:color w:val="auto"/>
          <w:kern w:val="0"/>
          <w:sz w:val="24"/>
          <w:szCs w:val="24"/>
        </w:rPr>
      </w:pPr>
      <w:r>
        <w:rPr>
          <w:rFonts w:hint="eastAsia" w:ascii="仿宋" w:hAnsi="仿宋" w:eastAsia="仿宋" w:cs="仿宋"/>
          <w:b/>
          <w:bCs/>
          <w:color w:val="auto"/>
          <w:kern w:val="0"/>
          <w:sz w:val="24"/>
          <w:szCs w:val="24"/>
        </w:rPr>
        <w:t>滨湖区生活垃圾转运站位于青龙山133号</w:t>
      </w:r>
      <w:r>
        <w:rPr>
          <w:rFonts w:hint="eastAsia" w:ascii="仿宋" w:hAnsi="仿宋" w:eastAsia="仿宋" w:cs="仿宋"/>
          <w:color w:val="auto"/>
          <w:kern w:val="0"/>
          <w:sz w:val="24"/>
          <w:szCs w:val="24"/>
        </w:rPr>
        <w:t>，设计转运能力为500吨/日，主要设施设备包括生活垃圾转运系统、污水处理系统、除尘除臭处理系统及其他辅助配套系统。转运站运行服务的目标是垃圾日产日清，水、气、声、渣达标排放，设施设备保养到位，确保安全、环保、稳定运行。项目情况及招标要求如下：</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1.服务内容</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滨湖区范围内生活垃圾由垃圾清运单位运输到转运站，经地磅称重后，生活垃圾经过压缩系统压缩后，集中转运至采购人指定的垃圾焚烧厂。转运站垃圾接收时间必须满足当天垃圾收集、转运需要；污水处理为24小时不间断运行，确保出水水质满足要求。转运站运行服务的目标是垃圾日产日清，水、气、声、渣达标排放，设施设备保养到位，确保安全、环保、稳定运行。</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2"/>
          <w:sz w:val="24"/>
          <w:szCs w:val="24"/>
        </w:rPr>
        <w:t>2.</w:t>
      </w:r>
      <w:r>
        <w:rPr>
          <w:rFonts w:hint="eastAsia" w:ascii="仿宋" w:hAnsi="仿宋" w:eastAsia="仿宋" w:cs="仿宋"/>
          <w:color w:val="auto"/>
          <w:kern w:val="0"/>
          <w:sz w:val="24"/>
          <w:szCs w:val="24"/>
        </w:rPr>
        <w:t>工艺流程</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生活垃圾转运工艺：收集车过磅→倾倒垃圾至料仓→垃圾压缩→打包至集装箱→转运车运至处理终端。</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污水处理工艺：调节池+混凝气浮+MBR+高级氧化+砂滤+活性炭。</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废气处理工艺：植物液喷淋除臭+离子新风除臭系统、隔离换气+化学洗涤塔+过滤器+UV光氧。</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危险废物全部委托有资质单位处理。生活垃圾、冲洗废水及污水处理系统产生的污泥等处理处置需符合相关环保政策以及技术规范、项目环评及批复的要求。转运站所有产出物的处置均需合规合法，费用由运行单位自行承担。</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3.运行管理</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3.1进站管理</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（1）垃圾收集车必须申请并审核通过后经自动识别系统进入转运站，且车容车貌和喷涂符合最新要求。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（2）严格把好垃圾进站关，严禁建筑、工业、医疗、危险、餐厨、放射性废弃物、大件垃圾、废水、废液等进入转运站。</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（3）操作人员应随机检查进站垃圾成分。禁止将易燃、易爆、腐蚀性化学品以及其他危险材料放入压缩箱。</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（4）运行单位应做好垃圾计量、转运车辆GPS联网、地磅联网、监控联网等工作，并按有关规定定期检验地磅计量误差。</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（5）每天定时传送报表和管理数据，计量系统出现故障需第一时间通知采购人，并在采购人许可的前提下方可实行人工记录。</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3.2 进站车辆调度</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（1）车辆进出站时，严禁故意在站内道路及场地上滞留，避免造成交通堵塞影响交通秩序。</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（2）引导垃圾收集车按照规定路线到达卸料口，在指定卸料口卸载垃圾。</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（3）作业高峰期间，卸料平台指挥员科学合理调度，确保畅通。</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（4）垃圾收集车进入卸料平台后，必须做到“一听、二停、三检查”（即听从作业平台管理人员的指挥、垃圾收集车必须停稳、卸料平台管理员检查车辆和所运垃圾的种类是否符合要求）后，方可倾倒垃圾。</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（5）引导垃圾收集车卸料完毕后，确保收集车后盖无残存垃圾夹带、后盖关闭完全后，按规定路线及时退出作业区。</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3.3 压缩作业</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（1）垃圾压缩设备应保持正常状态。设备异常时，严禁操作设备，避免人员伤亡和设备损坏。</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（2）倾倒垃圾前必须检查卸料区域和设备运转区域，确保无异常情况。</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（3）操作人员应按填装与压缩工艺技术要求操作，并保证工艺流程的稳定性和各工艺步骤的协调性。</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（4）当卸料槽或集装箱辅助装置损坏时，不得进行卸料作业。</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（5）卸料槽或集装箱入口堆满垃圾时，停止卸料，待垃圾被压缩至集装箱入口处有空间后方可继续卸料。</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（6）卸料槽或集装箱中发现大件垃圾、危险废物等非生活垃圾时，应在做好安全措施情况下，责令收集单位及时清除或采取紧急措施，并做好记录。</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（7）卸料时，压缩机对接与锁紧机构应保持完好。</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（8）在填装作业时压缩机的压头和滑动支架必须回到最末端时，才能进料。在填装或压缩作业时，工作人员不得靠近转运容器。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（9）转运容器装满后，应将容器封板关闭。</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（10）操作完毕后应及时清理作业区。</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11）操作垃圾压装设备、箱体移位装置之前，必须确认各部件的状态和显示屏所显示的信号是否一致；必须确认所操作设备周围有无其他无关人员或车辆，是否可能对操作造成干扰或发生事故的，要做到时刻注意安全，杜绝人为事故的发生。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（12）操作压装设备、箱体移位装置的工作中，不允许野蛮操作，发生故障后应立即停机检查，排除故障后才能再次进行操作。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（13）操作压装设备、箱体移位装置的工作完成后，必须对集装箱和压缩机结合部位进行有效的清洁：不允许挂有垃圾，有污垢的地方要清理，还要用水冲洗，要做到清洁美观，保证对接的顺利。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（14）在对转运车辆的辅助操作前，要停止压缩机和箱体移位装置的工作；现场工作人员要时刻注意转运车辆的工作状态，辅助转运车驾驶员，拉箱/放箱必须到位。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（15）每天工作结束后，要检查设备状态是否正常，各个机构状态是否正常，目测液压站及油路是否有漏油的情况。</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3.4 作业区保洁</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（1）保洁员着工作服、工作鞋上岗，严禁在卸料平台翻拣垃圾。</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（2）正确、规范、安全使用各种保洁工具，爱护工具。保洁工具保持整洁，规范有序摆放。</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（3）做到安全作业，按规定穿戴防护装备，保洁时注意避让车辆，确保自身安全。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（4）卸料大厅每两小时清理场地一次。</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（5）压缩作业完成后对转运车辆、转运容器及卸料槽每天清洗。</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（6）在压缩作业时，转运大厅保洁人员严禁进入卸料区保洁。</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（7）定期疏通管道，确保场地冲洗污水排放通畅。</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（8）定期对车间设备、作业工具、库房等进行保洁，确保设备上无尘土、污迹等。</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3.5 安全工作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（1）熟悉周边及站内环境，负责门卫、守护和巡逻，维护公共秩序，能正确使用各类消防、物防、技防器械。</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（2）处理治安及其他突发事件。</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（3）负责对进出转运站的人员及车辆进行登记，引导车辆有序停放，并禁止无权限的收集车进入作业区倾倒垃圾；</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（4）防盗、防火管理。积极主动地配合、服从采购人管理部门的临时应急调度。</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（5）保安工作实行24小时值勤制，保安工作规范严谨，定期组织演练，提高处置突发事件的能力，做好安全保卫和消防工作，确保转运站安全无事故，保障物资、财产及人员的安全。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3.6 转运车辆要求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（1）车辆应按采购人要求统一标志、外观整洁、整体密闭、性能良好。</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（2）GPS保持在线状态，接入无锡智慧环卫平台，并确保正常使用。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（3）车辆驾驶员要有驾驶转运车的资质，定期年检，并确保在有效期内。</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（4）车辆行驶过程中不超速、不超载，做到文明、安全行车。</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（5）车辆按规定路线行驶，途中不出现垃圾和污水抛、洒、滴、漏现象。</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（6）为车辆购买保险，并做好定期维护保养工作。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（7）车辆箱体应保持完好，做到密闭不漏水，密封圈定期更换。</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3.7 做好突发事件应对</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（1）编制突发事件应急预案，做好人员、物资保障措施。</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（2）做好恶劣气候应对工作，包括台风雨雪雾天等。</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3.8污水处理设备日常运行工作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提供转运站污水处理设备运行管理维护技术规范方案，做好日常操作工作及运行记录台账。安排相关资质的专业技术管理人员对污水处理设备进行日常运行操作和规范的维护检修，确保污水处理设备始终处于良好运行状态并能够以安全稳定的方式处理污水，出水水质达到环评批复要求。确保转运站每天的垃圾冲洗废水及时有效处理。按要求记录好污水处理运行维护的相关数据台账，保留基础数据。</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3.9除尘除臭处理设备日常运行工作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提供转运站除尘除臭处理设备运行管理维护技术规范方案，做好日常操作工作及运行记录台账。安排相关资质的专业技术管理人员对除尘除臭处理设备进行日常运行操作和规范的维护检修，确保除尘除臭设备始终处于良好运行状态并能够以安全稳定的方式处理臭气，臭气处理后达到环评批复要求。确保转运站每天的臭气及时有效处理，改善车间内的空气质量。按要求记录好除尘除臭系统运行维护的相关数据台账，保留基础数据。</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3.10 落实管理制度</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（1）有统一规范的垃圾进出站台账、操作台账等，记录清楚完整。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（2）建立健全自查自评制度，落实安全巡查制度，有记录日志，发现问题及时整改，每月至少自查一次并做记录。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（3）按规定时间开放，工作人员按时到岗，在岗在位。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（4）标识标牌配置齐全，作业规章、管理制度、安全制度上墙，整齐洁净。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（5）作业区域和办公区域分隔，严禁闲杂人员入站。</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（6）加强工作人员培训和管理，特种设备等专业技术岗位严格执行岗位操作规范。</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3.11 设施设备及车辆维护保养工作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定期按保养手册对站内设施设备进行维护保养，保养范围包括但不限于：压缩机、液压站、地磅、中控室、卷帘门、电控柜、除尘除臭设备、污水处理设备等；车辆维护保养范围为采购人提供给中标人的转运车辆。</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4.转运站人员配置、岗位职责</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具体岗位配置表如下表，站内人员配置不少于39人：</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9"/>
        <w:gridCol w:w="1408"/>
        <w:gridCol w:w="4008"/>
        <w:gridCol w:w="2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岗位</w:t>
            </w:r>
          </w:p>
        </w:tc>
        <w:tc>
          <w:tcPr>
            <w:tcW w:w="707"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人数</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岗位职责</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站长</w:t>
            </w:r>
          </w:p>
        </w:tc>
        <w:tc>
          <w:tcPr>
            <w:tcW w:w="707"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掌握转运站的工艺流程、技术要求和压缩设备等设施、设备的主要技术指标及运行管理要求，熟悉计算机操作。负责整个转运站日常运行及转运车队管理工作。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副站长</w:t>
            </w:r>
          </w:p>
        </w:tc>
        <w:tc>
          <w:tcPr>
            <w:tcW w:w="707"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配合站长做好各项工作。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安全员</w:t>
            </w:r>
          </w:p>
        </w:tc>
        <w:tc>
          <w:tcPr>
            <w:tcW w:w="707"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负责站内各类安全管理工作。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该岗位可设专人，也可由其他岗位兼任。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转运车驾驶员</w:t>
            </w:r>
          </w:p>
        </w:tc>
        <w:tc>
          <w:tcPr>
            <w:tcW w:w="707"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21</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负责垃圾转运运输工作。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中控室操作员</w:t>
            </w:r>
          </w:p>
        </w:tc>
        <w:tc>
          <w:tcPr>
            <w:tcW w:w="707"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负责卸料大厅、出料装载区、站点全域监控及压缩机操作，并做好垃圾转运量、污水处理量、臭气运行情况等各项统计工作。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熟悉计算机操作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操作工</w:t>
            </w:r>
          </w:p>
        </w:tc>
        <w:tc>
          <w:tcPr>
            <w:tcW w:w="707"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3</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负责站内设备操作工作。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机修工及电工</w:t>
            </w:r>
          </w:p>
        </w:tc>
        <w:tc>
          <w:tcPr>
            <w:tcW w:w="707"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负责站内设备维修工作。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卸料平台指挥员</w:t>
            </w:r>
          </w:p>
        </w:tc>
        <w:tc>
          <w:tcPr>
            <w:tcW w:w="707"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负责卸料平台指挥工作。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保洁员、门卫及保安员</w:t>
            </w:r>
          </w:p>
        </w:tc>
        <w:tc>
          <w:tcPr>
            <w:tcW w:w="707"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6</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负责站内清洁卫生和车辆清洗工作、全天候对转运站进行看门及安保工作。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污水处理、除尘除臭系统操作人员</w:t>
            </w:r>
          </w:p>
        </w:tc>
        <w:tc>
          <w:tcPr>
            <w:tcW w:w="707"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w:t>
            </w:r>
          </w:p>
        </w:tc>
        <w:tc>
          <w:tcPr>
            <w:tcW w:w="201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负责污水处理、除尘除臭系统日常运行工作。</w:t>
            </w:r>
          </w:p>
        </w:tc>
        <w:tc>
          <w:tcPr>
            <w:tcW w:w="11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center"/>
              <w:rPr>
                <w:rFonts w:hint="default" w:ascii="仿宋" w:hAnsi="仿宋" w:eastAsia="仿宋" w:cs="仿宋"/>
                <w:color w:val="auto"/>
                <w:sz w:val="24"/>
                <w:szCs w:val="24"/>
                <w:lang w:val="en-US" w:eastAsia="zh-CN" w:bidi="ar-SA"/>
              </w:rPr>
            </w:pPr>
          </w:p>
        </w:tc>
      </w:tr>
    </w:tbl>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备注：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（1）投标人需按照转运站人员配置进行报价。</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工作时间可根据环境卫生作不得违反《劳动法》相关规定，投标供应商必须给上述人员按照国家及无锡市的有关规定支付工资和交纳保险等，且不得低于无锡市最低工资标准。中标人承担在合同服务期内发生的一切责任及事故赔偿。中标人所聘用的工作人员与采购人不存在劳动雇佣关系。</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（4）中标人必须对所派出的操作人员进行设备的操作培训，使其能进行独立操作。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运行操作人员应坚守岗位，定期检查设施、设备、仪器、仪表的运行情况，按规定要求操作使用各种机械设备、仪器、仪表，发现异常情况，应及时采取相应处理措施，并按照分级管理的原则及时上报。严禁非工作人员和未经培训的工作人员操作站内设施设备，避免因操作不当发生事故。</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转运站内各设施设备（含转运车辆）均为采购人所有，经营期间中标人工作人员必须遵守采购人的有关管理规定，并按有关国家安全操作规定进行作业，确保各类设施设备安全、环保运行，车辆安全作业；中标人工作人员如有违纪违法、发生工伤死亡、意外事故或环保责任等一切经济和法律责任由中标人自行负责，与采购人无关。</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5.满足生态环境部门排污单位自动监测监控联网（全联全控）要求。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6.落实安全生产主体责任，切实加强安全生产。</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7.其他相关要求：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投标供应商须按管理内容编制各类运行台账，并每日进行检查，发现问题及时整改。采购人对投标供应商各工作岗位的服务质量随时进行抽查。发现问题，及时书面通知整改，投标供应商将整改结果书面通知采购单位。</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（2）在项目实施过程中应要求服务人员加强劳动纪律，注重职业道德规范。</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（3）定期组织职工学习，提高职工业务素质。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（4）加强合作，积极做好各项应急保障工作，自觉接受各级部门的检查考核，如发现问题需及时整改。</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（5）作业时保证安全，发生各种意外事故，由投标供应商自行解决并承担相应的责任。</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（6）投标供应商接到责任范围内的投诉电话和新闻舆论监督曝光的，应在半小时告知招标人，并在处理完毕后做好信息反馈。</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（7）投标供应商应确保做好转运站内所有设施设备的维护保养工作，确保所有设施设备正常运行，服务期满移交时，所有设施设备处于正常使用状态，如有故障，须由投标供应商负责维修恢复正常使用。</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8）站内各类设施设备和转运车辆均为采购人名下资产，服务范围内的机械设备由采购人配备，投标供应商负责正常的维护维修保养，服务期结束后乙方要保证设备、设施的完好；大型转运站的房屋主体结构的维修不在投标供应商的维修范围内，但要保持墙体整洁；运行期限内产生的所有水电费、药剂费及各类易耗品均由投标供应商负责。</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（9）投标供应商应控制转运站渗滤液的产生量，原则上不超过10790吨/年，超出部分费用由投标供应商自理</w:t>
      </w:r>
      <w:r>
        <w:rPr>
          <w:rFonts w:hint="eastAsia" w:ascii="仿宋" w:hAnsi="仿宋" w:eastAsia="仿宋" w:cs="仿宋"/>
          <w:color w:val="auto"/>
          <w:kern w:val="0"/>
          <w:sz w:val="24"/>
          <w:szCs w:val="24"/>
          <w:highlight w:val="none"/>
          <w:lang w:eastAsia="zh-CN"/>
        </w:rPr>
        <w:t>。</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（二）采购标的需执行的国家相关标准、行业标准、地方标准或者其他标准、规范</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符合《生活垃圾转运站技术规范》（CJJ/T 47-2016）、《生活垃圾收集运输技术规程》（CJJ205-2013）、《生活垃圾转运站运行维护技术规程》（CJJ 109-2023）、《无锡市生活垃圾转运站建设和运营管理导则》《无锡市生活垃圾转运站管理指导意见》。</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（三）采购标的需满足的质量、安全、技术规格、物理特性等要求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符合《转运站作业质量考核标准》中的考核内容要求，主要内容包括站容站貌、日常作业、设施设备配置和适用、其他等，具体以采购人确认为准。</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（四）采购标的的数量、采购项目交付或者实施的时间和地点</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滨湖区生活垃圾转运站位于青龙山133号。</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（五）采购标的需满足的服务标准、期限、效率等要求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rPr>
        <w:t>需满足《生活垃圾转运站技术规范》（CJJ/T 47-2016）、《生活垃圾收集运输技术规程》（CJJ205-2013）、《生活垃圾转运站运行维护技术规程》（CJJ 109-2023）、《无锡市生活垃圾转运站建设和运营管理导则》《无锡市生活垃圾转运站管理指导意见》和《转运站作业</w:t>
      </w:r>
      <w:r>
        <w:rPr>
          <w:rFonts w:hint="eastAsia" w:ascii="仿宋" w:hAnsi="仿宋" w:eastAsia="仿宋" w:cs="仿宋"/>
          <w:color w:val="auto"/>
          <w:kern w:val="0"/>
          <w:sz w:val="24"/>
          <w:szCs w:val="24"/>
          <w:highlight w:val="none"/>
        </w:rPr>
        <w:t>质量考核标准》等文件要求，做到垃圾日产日清，水、气、声、渣达标排放，设施设备保养到位，确保安全、环保、稳定运行。本项目服务期为自合同签订之日起2年，</w:t>
      </w:r>
      <w:r>
        <w:rPr>
          <w:rFonts w:hint="eastAsia" w:ascii="仿宋" w:hAnsi="仿宋" w:eastAsia="仿宋" w:cs="仿宋"/>
          <w:b/>
          <w:bCs/>
          <w:color w:val="auto"/>
          <w:kern w:val="0"/>
          <w:sz w:val="24"/>
          <w:szCs w:val="24"/>
          <w:highlight w:val="none"/>
        </w:rPr>
        <w:t>如遇转运站拆迁、停产改造、产权变更等不可抗力因素将终止本次服务</w:t>
      </w:r>
      <w:r>
        <w:rPr>
          <w:rFonts w:hint="eastAsia" w:ascii="仿宋" w:hAnsi="仿宋" w:eastAsia="仿宋" w:cs="仿宋"/>
          <w:color w:val="auto"/>
          <w:kern w:val="0"/>
          <w:sz w:val="24"/>
          <w:szCs w:val="24"/>
          <w:highlight w:val="none"/>
        </w:rPr>
        <w:t>。</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（六）采购标的的验收标准</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rPr>
        <w:t>采购人每月对投标供应商进行考核，考核内容按照《转运站作业质量考核标准》进行，</w:t>
      </w:r>
      <w:r>
        <w:rPr>
          <w:rFonts w:hint="eastAsia" w:ascii="仿宋" w:hAnsi="仿宋" w:eastAsia="仿宋" w:cs="仿宋"/>
          <w:color w:val="auto"/>
          <w:kern w:val="0"/>
          <w:sz w:val="24"/>
          <w:szCs w:val="24"/>
          <w:highlight w:val="none"/>
        </w:rPr>
        <w:t>考核分数将与运行费用扣款挂钩，具体以采购人确认为准。</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（七）付款方式</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合同签订后，每3个月根据考核结果向中标人支付运行费用。</w:t>
      </w:r>
      <w:r>
        <w:rPr>
          <w:rFonts w:hint="eastAsia" w:ascii="仿宋" w:hAnsi="仿宋" w:eastAsia="仿宋" w:cs="仿宋"/>
          <w:b/>
          <w:bCs/>
          <w:color w:val="auto"/>
          <w:kern w:val="0"/>
          <w:sz w:val="24"/>
          <w:szCs w:val="24"/>
          <w:highlight w:val="none"/>
        </w:rPr>
        <w:t>该项目如遇转运站拆迁、停产改造、产权变更等不可抗因素终止服务，将根据该站实际运行管理时间折算运行费用。</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2"/>
        <w:rPr>
          <w:rFonts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（八）采购标的的其他技术、服务等要求</w:t>
      </w:r>
    </w:p>
    <w:p>
      <w:pPr>
        <w:pageBreakBefore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rPr>
        <w:t>污水处理设备、除尘除臭处理设备日常运行工作允许分包，但均由总包单位负责统一协调和管理。总包单位须提前将承包方资质、人员等相关材料提交给采购人，并经采购人书面同意后方可进行分包。未经采购人同意，擅自将合同转让或进行分包的，采购人有权解除合同，同时乙方向采购人偿付违约金。进行处理、操作作业的承包方须具备相关资质以及人员并签订相关管理协议，明确各自的生产管理职责，并指定专职管理人员进行协调和检查。如因分包单位管理不力导致发生事故的，总包单位将承担管理责任和连带责任。</w:t>
      </w:r>
    </w:p>
    <w:p>
      <w:pPr>
        <w:keepNext w:val="0"/>
        <w:keepLines w:val="0"/>
        <w:pageBreakBefore w:val="0"/>
        <w:widowControl w:val="0"/>
        <w:numPr>
          <w:ilvl w:val="1"/>
          <w:numId w:val="0"/>
        </w:numPr>
        <w:spacing w:line="360" w:lineRule="auto"/>
        <w:ind w:left="567" w:firstLine="480"/>
        <w:rPr>
          <w:rFonts w:hint="eastAsia" w:ascii="仿宋" w:hAnsi="仿宋" w:eastAsia="仿宋" w:cs="仿宋"/>
          <w:color w:val="auto"/>
          <w:sz w:val="24"/>
          <w:szCs w:val="24"/>
          <w:highlight w:val="none"/>
        </w:rPr>
      </w:pPr>
    </w:p>
    <w:p>
      <w:pPr>
        <w:widowControl/>
        <w:tabs>
          <w:tab w:val="left" w:pos="360"/>
          <w:tab w:val="left" w:pos="960"/>
        </w:tabs>
        <w:spacing w:line="360" w:lineRule="auto"/>
        <w:jc w:val="center"/>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44"/>
          <w:szCs w:val="44"/>
          <w:highlight w:val="none"/>
        </w:rPr>
        <w:br w:type="page" w:clear="all"/>
      </w:r>
      <w:r>
        <w:rPr>
          <w:rFonts w:hint="eastAsia" w:ascii="仿宋" w:hAnsi="仿宋" w:eastAsia="仿宋" w:cs="仿宋"/>
          <w:b/>
          <w:bCs/>
          <w:color w:val="auto"/>
          <w:sz w:val="44"/>
          <w:szCs w:val="44"/>
          <w:highlight w:val="none"/>
        </w:rPr>
        <w:t>第四部分   合同</w:t>
      </w:r>
      <w:r>
        <w:rPr>
          <w:rFonts w:hint="eastAsia" w:ascii="仿宋" w:hAnsi="仿宋" w:eastAsia="仿宋" w:cs="仿宋"/>
          <w:b/>
          <w:bCs/>
          <w:color w:val="auto"/>
          <w:sz w:val="44"/>
          <w:szCs w:val="44"/>
          <w:highlight w:val="none"/>
          <w:lang w:val="en-US" w:eastAsia="zh-CN"/>
        </w:rPr>
        <w:t>条款</w:t>
      </w:r>
      <w:r>
        <w:rPr>
          <w:rFonts w:hint="eastAsia" w:ascii="仿宋" w:hAnsi="仿宋" w:eastAsia="仿宋" w:cs="仿宋"/>
          <w:b/>
          <w:bCs/>
          <w:color w:val="auto"/>
          <w:sz w:val="44"/>
          <w:szCs w:val="44"/>
          <w:highlight w:val="none"/>
          <w:lang w:eastAsia="zh-CN"/>
        </w:rPr>
        <w:t>（</w:t>
      </w:r>
      <w:r>
        <w:rPr>
          <w:rFonts w:hint="eastAsia" w:ascii="仿宋" w:hAnsi="仿宋" w:eastAsia="仿宋" w:cs="仿宋"/>
          <w:b/>
          <w:bCs/>
          <w:color w:val="auto"/>
          <w:sz w:val="44"/>
          <w:szCs w:val="44"/>
          <w:highlight w:val="none"/>
        </w:rPr>
        <w:t>格式，投标时不需填写）</w:t>
      </w:r>
    </w:p>
    <w:p>
      <w:pPr>
        <w:spacing w:line="360" w:lineRule="auto"/>
        <w:jc w:val="center"/>
        <w:rPr>
          <w:rFonts w:hint="eastAsia" w:ascii="仿宋" w:hAnsi="仿宋" w:eastAsia="仿宋" w:cs="仿宋"/>
          <w:b/>
          <w:bCs/>
          <w:color w:val="auto"/>
          <w:sz w:val="28"/>
          <w:szCs w:val="28"/>
          <w:highlight w:val="none"/>
        </w:rPr>
      </w:pPr>
      <w:bookmarkStart w:id="24" w:name="_Hlk211188971"/>
      <w:r>
        <w:rPr>
          <w:rFonts w:hint="eastAsia" w:ascii="仿宋" w:hAnsi="仿宋" w:eastAsia="仿宋" w:cs="仿宋"/>
          <w:b/>
          <w:bCs/>
          <w:color w:val="auto"/>
          <w:sz w:val="28"/>
          <w:szCs w:val="28"/>
          <w:highlight w:val="none"/>
        </w:rPr>
        <w:t>江苏省政府采购合同（服务）</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仿宋" w:hAnsi="仿宋" w:eastAsia="仿宋" w:cs="仿宋"/>
          <w:bCs/>
          <w:color w:val="auto"/>
          <w:kern w:val="2"/>
          <w:sz w:val="24"/>
          <w:szCs w:val="20"/>
        </w:rPr>
      </w:pPr>
      <w:r>
        <w:rPr>
          <w:rFonts w:hint="eastAsia" w:ascii="仿宋" w:hAnsi="仿宋" w:eastAsia="仿宋" w:cs="仿宋"/>
          <w:bCs/>
          <w:color w:val="auto"/>
          <w:kern w:val="2"/>
          <w:sz w:val="24"/>
          <w:szCs w:val="20"/>
        </w:rPr>
        <w:t>项目名称：</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仿宋" w:hAnsi="仿宋" w:eastAsia="仿宋" w:cs="仿宋"/>
          <w:bCs/>
          <w:color w:val="auto"/>
          <w:kern w:val="2"/>
          <w:sz w:val="24"/>
          <w:szCs w:val="20"/>
        </w:rPr>
      </w:pPr>
      <w:r>
        <w:rPr>
          <w:rFonts w:hint="eastAsia" w:ascii="仿宋" w:hAnsi="仿宋" w:eastAsia="仿宋" w:cs="仿宋"/>
          <w:bCs/>
          <w:color w:val="auto"/>
          <w:kern w:val="2"/>
          <w:sz w:val="24"/>
          <w:szCs w:val="20"/>
        </w:rPr>
        <w:t>项目编号：</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仿宋" w:hAnsi="仿宋" w:eastAsia="仿宋" w:cs="仿宋"/>
          <w:bCs/>
          <w:color w:val="auto"/>
          <w:kern w:val="2"/>
          <w:sz w:val="24"/>
          <w:szCs w:val="20"/>
        </w:rPr>
      </w:pPr>
      <w:r>
        <w:rPr>
          <w:rFonts w:hint="eastAsia" w:ascii="仿宋" w:hAnsi="仿宋" w:eastAsia="仿宋" w:cs="仿宋"/>
          <w:bCs/>
          <w:color w:val="auto"/>
          <w:kern w:val="2"/>
          <w:sz w:val="24"/>
          <w:szCs w:val="20"/>
        </w:rPr>
        <w:t>甲方：（采购人）</w:t>
      </w:r>
      <w:r>
        <w:rPr>
          <w:rFonts w:hint="eastAsia" w:ascii="仿宋" w:hAnsi="仿宋" w:eastAsia="仿宋" w:cs="仿宋"/>
          <w:bCs/>
          <w:color w:val="auto"/>
          <w:kern w:val="2"/>
          <w:sz w:val="24"/>
          <w:szCs w:val="20"/>
          <w:u w:val="single"/>
        </w:rPr>
        <w:t>无锡市环境卫生管理服务中心</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仿宋" w:hAnsi="仿宋" w:eastAsia="仿宋" w:cs="仿宋"/>
          <w:bCs/>
          <w:color w:val="auto"/>
          <w:kern w:val="2"/>
          <w:sz w:val="24"/>
          <w:szCs w:val="20"/>
          <w:u w:val="single"/>
        </w:rPr>
      </w:pPr>
      <w:r>
        <w:rPr>
          <w:rFonts w:hint="eastAsia" w:ascii="仿宋" w:hAnsi="仿宋" w:eastAsia="仿宋" w:cs="仿宋"/>
          <w:bCs/>
          <w:color w:val="auto"/>
          <w:kern w:val="2"/>
          <w:sz w:val="24"/>
          <w:szCs w:val="20"/>
        </w:rPr>
        <w:t>乙方：（供应商）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仿宋" w:hAnsi="仿宋" w:eastAsia="仿宋" w:cs="仿宋"/>
          <w:b/>
          <w:bCs/>
          <w:color w:val="auto"/>
          <w:kern w:val="2"/>
          <w:sz w:val="24"/>
          <w:szCs w:val="20"/>
        </w:rPr>
      </w:pPr>
      <w:r>
        <w:rPr>
          <w:rFonts w:hint="eastAsia" w:ascii="仿宋" w:hAnsi="仿宋" w:eastAsia="仿宋" w:cs="仿宋"/>
          <w:bCs/>
          <w:color w:val="auto"/>
          <w:kern w:val="2"/>
          <w:sz w:val="24"/>
          <w:szCs w:val="20"/>
        </w:rPr>
        <w:t>甲、乙双方根据江苏省政府采购（苏采云）平台</w:t>
      </w:r>
      <w:r>
        <w:rPr>
          <w:rFonts w:hint="eastAsia" w:ascii="仿宋" w:hAnsi="仿宋" w:eastAsia="仿宋" w:cs="仿宋"/>
          <w:bCs/>
          <w:color w:val="auto"/>
          <w:kern w:val="2"/>
          <w:sz w:val="24"/>
          <w:szCs w:val="20"/>
          <w:u w:val="single"/>
        </w:rPr>
        <w:t>项目</w:t>
      </w:r>
      <w:r>
        <w:rPr>
          <w:rFonts w:hint="eastAsia" w:ascii="仿宋" w:hAnsi="仿宋" w:eastAsia="仿宋" w:cs="仿宋"/>
          <w:bCs/>
          <w:color w:val="auto"/>
          <w:kern w:val="2"/>
          <w:sz w:val="24"/>
          <w:szCs w:val="20"/>
        </w:rPr>
        <w:t>公开招标的结果，签署本合同。</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依据双方共同确认的乙方应承担甲方管辖范围内的生活垃圾转运站运行、管理、维护服务项目等和合同中规定乙方应承担的其他义务。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2"/>
          <w:sz w:val="24"/>
          <w:szCs w:val="24"/>
        </w:rPr>
        <w:t>1.</w:t>
      </w:r>
      <w:r>
        <w:rPr>
          <w:rFonts w:hint="eastAsia" w:ascii="仿宋" w:hAnsi="仿宋" w:eastAsia="仿宋" w:cs="仿宋"/>
          <w:color w:val="auto"/>
          <w:kern w:val="0"/>
          <w:sz w:val="24"/>
          <w:szCs w:val="24"/>
        </w:rPr>
        <w:t>服务内容</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主要为梁溪区南长片区（扬名街道和清名桥街道）范围内的所有生活垃圾（现指生活垃圾分类出的其他垃圾，下同）。生活垃圾由垃圾清运单位运输到转运站，经地磅称重后，垃圾经过压缩系统压缩后，集中转运至采购人指定的垃圾焚烧厂。转运站垃圾接收时间必须满足当天垃圾收集、转运需要；污水处理为24小时不间断运行，确保出水水质满足要求。转运站运行服务的目标是垃圾日产日清，水、气、声、渣达标排放，设施设备保养到位，确保安全、环保、稳定运行。</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2"/>
          <w:sz w:val="24"/>
          <w:szCs w:val="24"/>
        </w:rPr>
        <w:t>2.</w:t>
      </w:r>
      <w:r>
        <w:rPr>
          <w:rFonts w:hint="eastAsia" w:ascii="仿宋" w:hAnsi="仿宋" w:eastAsia="仿宋" w:cs="仿宋"/>
          <w:color w:val="auto"/>
          <w:kern w:val="0"/>
          <w:sz w:val="24"/>
          <w:szCs w:val="24"/>
        </w:rPr>
        <w:t>工艺流程</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生活垃圾转运工艺：收集车过磅→倾倒垃圾至料仓→垃圾压缩→打包至集装箱→转运车运至处理终端。</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污水处理工艺：调节池+混凝气浮+MBR+高级氧化+砂滤+活性炭。</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废气处理工艺：植物液喷淋除臭+离子新风除臭系统、隔离换气+化学洗涤塔+过滤器+UV光氧。</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危险废物全部委托有资质单位处理。生活垃圾、冲洗废水及污水处理系统产生的污泥等处理处置需符合相关环保政策以及技术规范、项目环评及批复的要求。转运站所有产出物的处置均需合规合法，费用由运行单位自行承担。</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3.运行管理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3.1进站管理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（1）垃圾收集车必须申请并审核通过后经自动识别系统进入转运站，且车容车貌和喷涂符合最新要求。</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（2）严格把好垃圾进站关，严禁建筑、工业、医疗、危险、餐厨、放射性废弃物、大件垃圾、废水、废液等进入转运站。</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（3）操作人员应随机检查进站垃圾成分。禁止将易燃、易爆、腐蚀性化学品以及其他危险材料放入压缩箱。</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（4）运行单位应做好垃圾计量、转运车辆GPS联网、地磅联网、监控联网等工作，并按有关规定定期检验地磅计量误差。</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（5）每天定时传送报表和管理数据，计量系统出现故障需第一时间通知采购人，并在采购人许可的前提下方可实行人工记录。</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3.2 进站车辆调度</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（1）车辆进出站时，严禁故意在站内道路及场地上滞留，避免造成交通堵塞影响交通秩序。</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（2）引导垃圾收集车按照规定路线到达卸料口，在指定卸料口卸载垃圾。</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（3）作业高峰期间，卸料平台指挥员科学合理调度，确保畅通。</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（4）垃圾收集车进入卸料平台后，必须做到“一听、二停、三检查”（即听从作业平台管理人员的指挥、垃圾收集车必须停稳、卸料平台管理员检查车辆和所运垃圾的种类是否符合要求）后，方可倾倒垃圾。</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（5）引导垃圾收集车卸料完毕后，确保收集车后盖无残存垃圾夹带、后盖关闭完全后，按规定路线及时退出作业区。</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3.3 压缩作业</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（1）垃圾压缩设备应保持正常状态。设备异常时，严禁操作设备，避免人员伤亡和设备损坏。</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（2）倾倒垃圾前必须检查卸料区域和设备运转区域，确保无异常情况。</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（3）操作人员应按填装与压缩工艺技术要求操作，并保证工艺流程的稳定性和各工艺步骤的协调性。</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（4）当卸料槽或集装箱辅助装置损坏时，不得进行卸料作业。</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（5）卸料槽或集装箱入口堆满垃圾时，停止卸料，待垃圾被压缩至集装箱入口处有空间后方可继续卸料。</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（6）卸料槽或集装箱中发现大件垃圾、危险废物等非生活垃圾时，应在做好安全措施情况下，责令收集单位及时清除或采取紧急措施，并做好记录。</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（7）卸料时，压缩机对接与锁紧机构应保持完好。</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（8）在填装作业时压缩机的压头和滑动支架必须回到最末端时，才能进料。在填装或压缩作业时，工作人员不得靠近转运容器。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（9）转运容器装满后，应将容器封板关闭。</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（10）操作完毕后应及时清理作业区。</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11）操作垃圾压装设备、箱体移位装置之前，必须确认各部件的状态和显示屏所显示的信号是否一致；必须确认所操作设备周围有无其他无关人员或车辆，是否可能对操作造成干扰或发生事故的，要做到时刻注意安全，杜绝人为事故的发生。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（12）操作压装设备、箱体移位装置的工作中，不允许野蛮操作，发生故障后应立即停机检查，排除故障后才能再次进行操作。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（13）操作压装设备、箱体移位装置的工作完成后，必须对集装箱和压缩机结合部位进行有效的清洁：不允许挂有垃圾，有污垢的地方要清理，还要用水冲洗，要做到清洁美观，保证对接的顺利。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（14）在对转运车辆的辅助操作前，要停止压缩机和箱体移位装置的工作；现场工作人员要时刻注意转运车辆的工作状态，辅助转运车驾驶员，拉箱/放箱必须到位。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（15）每天工作结束后，要检查设备状态是否正常，各个机构状态是否正常，目测液压站及油路是否有漏油的情况。</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3.4 作业区保洁</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（1）保洁员着工作服、工作鞋上岗，严禁在卸料平台翻拣垃圾。</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（2）正确、规范、安全使用各种保洁工具，爱护工具。保洁工具保持整洁，规范有序摆放。</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（3）做到安全作业，按规定穿戴防护装备，保洁时注意避让车辆，确保自身安全。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（4）卸料大厅每两小时清理场地一次。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（5）压缩作业完成后对转运车辆、转运容器及卸料槽每天清洗。</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（6）在压缩作业时，转运大厅保洁人员严禁进入卸料区保洁。</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（7）定期疏通管道，确保场地冲洗污水排放通畅。</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（8）定期对车间设备、作业工具、库房等进行保洁，确保设备上无尘土、污迹等。</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3.5 安全工作</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（1）熟悉周边及站内环境，负责门卫、守护和巡逻，维护公共秩序，能正确使用各类消防、物防、技防器械。</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（2）处理治安及其他突发事件。</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（3）负责对进出转运站的人员及车辆进行登记，引导车辆有序停放，并禁止无权限的收集车进入作业区倾倒垃圾；</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（4）防盗、防火管理。积极主动地配合、服从采购人管理部门的临时应急调度。</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（5）保安工作实行24小时值勤制，保安工作规范严谨，定期组织演练，提高处置突发事件的能力，做好安全保卫和消防工作，确保转运站安全无事故，保障物资、财产及人员的安全。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3.6 转运车辆要求</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（1）车辆应按采购人要求统一标志、外观整洁、整体密闭、性能良好。</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（2）GPS保持在线状态，接入无锡智慧环卫平台，并确保正常使用。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（3）车辆驾驶员要有驾驶转运车的资质，定期年检，并确保在有效期内。</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（4）车辆行驶过程中不超速、不超载，做到文明、安全行车。</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（5）车辆按规定路线行驶，途中不出现垃圾和污水抛、洒、滴、漏现象。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（6）为车辆购买保险，并做好定期维护保养工作。</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（7）车辆箱体应保持完好，做到密闭不漏水，密封圈定期更换。</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3.7 做好突发事件应对</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（1）编制突发事件应急预案，做好人员、物资保障措施。</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（2）做好恶劣气候应对工作，包括台风雨雪雾天等。</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3.8污水处理设备日常运行工作</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提供转运站污水处理设备运行管理维护技术规范方案，做好日常操作工作及运行记录台账。安排相关资质的专业技术管理人员对污水处理设备进行日常运行操作和规范的维护检修，确保污水处理设备始终处于良好运行状态并能够以安全稳定的方式处理污水，出水水质达到环评批复要求。确保转运站每天的垃圾冲洗废水及时有效处理。按要求记录好污水处理运行维护的相关数据台账，保留基础数据。</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3.9除尘除臭处理设备日常运行工作</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提供转运站除尘除臭处理设备运行管理维护技术规范方案，做好日常操作工作及运行记录台账。安排相关资质的专业技术管理人员对除尘除臭处理设备进行日常运行操作和规范的维护检修，确保除尘除臭设备始终处于良好运行状态并能够以安全稳定的方式处理臭气，臭气处理后达到环评批复要求。确保转运站每天的臭气及时有效处理，改善车间内的空气质量。按要求记录好除尘除臭系统运行维护的相关数据台账，保留基础数据。</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3.10 落实管理制度</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（1）有统一规范的垃圾进出站台账、操作台账等，记录清楚完整。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（2）建立健全自查自评制度，落实安全巡查制度，有记录日志，发现问题及时整改，每月至少自查一次并做记录。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（3）按规定时间开放，工作人员按时到岗，在岗在位。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（4）标识标牌配置齐全，作业规章、管理制度、安全制度上墙，整齐洁净。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（5）作业区域和办公区域分隔，严禁闲杂人员入站。</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（6）加强工作人员培训和管理，特种设备等专业技术岗位严格执行岗位操作规范。</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3.11 设施设备及车辆维护保养工作</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定期按保养手册对站内设施设备进行维护保养，保养范围包括但不限于：压缩机、液压站、地磅、中控室、卷帘门、电控柜、除尘除臭设备、污水处理设备等；车辆维护保养范围为采购人提供给中标人的转运车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4.转运站人员配置要求。</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（1）具体岗位人员按投标文件配置，如有变动，须提前向甲方报备，并提供相应材料，替换人员资质应与投标时要求相符。</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（2）工作时间可根据环境卫生作业实际情况调整。</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对服务人员的要求及其他：不得违反《劳动法》相关规定，投标供应商必须给上述人员按照国家及无锡市的有关规定支付工资和交纳保险等，且不得低于无锡市最低工资标准。中标人承担在合同服务期内发生的一切责任及事故赔偿。中标人所聘用的工作人员与采购人不存在劳动雇佣关系。</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（4）中标人必须对所派出的操作人员进行设备的操作培训，使其能进行独立操作。</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运行操作人员应坚守岗位，定期检查设施、设备、仪器、仪表的运行情况，按规定要求操作使用各种机械设备、仪器、仪表，发现异常情况，应及时采取相应处理措施，并按照分级管理的原则及时上报。严禁非工作人员和未经培训的工作人员操作站内设施设备，避免因操作不当发生事故。</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转运站内各设施设备（含转运车辆）均为采购人所有，经营期间中标人工作人员必须遵守采购人的有关管理规定，并按有关国家安全操作规定进行作业，确保各类设施设备安全、环保运行，车辆安全作业；中标人工作人员如有违纪违法、发生工伤死亡、意外事故或环保责任等一切经济和法律责任由中标人自行负责，与采购人无关。</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5.满足生态环境部门排污单位自动监测监控联网（全联全控）要求。</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6.落实安全生产主体责任，切实加强安全生产。</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7.其他相关要求：</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投标供应商须按管理内容编制各类运行台账，并每日进行检查，发现问题及时整改。采购人对投标供应商各工作岗位的服务质量随时进行抽查。发现问题，及时书面通知整改，投标供应商将整改结果书面通知采购单位。</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（2）在项目实施过程中应要求服务人员加强劳动纪律，注重职业道德规范。</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（3）定期组织职工学习，提高职工业务素质。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（4）加强合作，积极做好各项突击性工作和创卫工作，自觉接受各级部门的检查考核，如发现问题需及时整改。</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（5）作业时保证安全，发生各种意外事故，由投标供应商自行解决并承担相应的责任。</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（6）投标供应商接到责任范围内的投诉电话和新闻舆论监督曝光的，应在半小时告知招标人，并在处理完毕后做好信息反馈。</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（7）投标供应商应确保做好转运站内所有设施设备的维护保养工作，确保所有设施设备正常运行，服务期满移交时，所有设施设备处于正常使用状态，如有故障，须由投标供应商负责维修恢复正常使用。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8）站内各类设施设备和转运车辆均为采购人名下资产，服务范围内的机械设备由采购人配备，投标供应商负责正常的维护维修保养，服务期结束后乙方要保证设备、设施的完好；大型转运站的房屋主体结构的维修不在投标供应商的维修范围内，但要保持墙体整洁；运行期限内产生的所有水电费、药剂费及各类易耗品均由投标供应商负责。</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（9）投标供应商应控制转运站渗滤液的产生量，原则上不超过</w:t>
      </w:r>
      <w:r>
        <w:rPr>
          <w:rFonts w:hint="eastAsia" w:ascii="仿宋" w:hAnsi="仿宋" w:eastAsia="仿宋" w:cs="仿宋"/>
          <w:color w:val="auto"/>
          <w:kern w:val="0"/>
          <w:sz w:val="24"/>
          <w:szCs w:val="24"/>
          <w:lang w:val="en-US" w:eastAsia="zh-CN"/>
        </w:rPr>
        <w:t xml:space="preserve">      </w:t>
      </w:r>
      <w:r>
        <w:rPr>
          <w:rFonts w:hint="eastAsia" w:ascii="仿宋" w:hAnsi="仿宋" w:eastAsia="仿宋" w:cs="仿宋"/>
          <w:color w:val="auto"/>
          <w:kern w:val="0"/>
          <w:sz w:val="24"/>
          <w:szCs w:val="24"/>
        </w:rPr>
        <w:t>吨/年，超出部分费用由投标供应商自理</w:t>
      </w:r>
      <w:r>
        <w:rPr>
          <w:rFonts w:hint="eastAsia" w:ascii="仿宋" w:hAnsi="仿宋" w:eastAsia="仿宋" w:cs="仿宋"/>
          <w:color w:val="auto"/>
          <w:kern w:val="0"/>
          <w:sz w:val="24"/>
          <w:szCs w:val="24"/>
          <w:lang w:eastAsia="zh-CN"/>
        </w:rPr>
        <w:t>。</w:t>
      </w:r>
    </w:p>
    <w:p>
      <w:pPr>
        <w:keepNext w:val="0"/>
        <w:keepLines w:val="0"/>
        <w:pageBreakBefore w:val="0"/>
        <w:widowControl w:val="0"/>
        <w:numPr>
          <w:ilvl w:val="0"/>
          <w:numId w:val="17"/>
        </w:numPr>
        <w:kinsoku/>
        <w:wordWrap/>
        <w:overflowPunct/>
        <w:topLinePunct w:val="0"/>
        <w:autoSpaceDE/>
        <w:autoSpaceDN/>
        <w:bidi w:val="0"/>
        <w:adjustRightInd/>
        <w:spacing w:line="360" w:lineRule="auto"/>
        <w:ind w:firstLine="482" w:firstLineChars="200"/>
        <w:jc w:val="left"/>
        <w:textAlignment w:val="auto"/>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甲方权利和义务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1.根据甲方的有关规定，对乙方工作及履行合同情况进行检查考核。</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2.有权对乙方本项目的列支费用进行审查。</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3.有权对乙方设施设备安全运行情况进行检查。</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4.有权对乙方规范用工情况进行检查，包括劳动合同签订、社会保险金缴纳、加班费用支付等情况。</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5.有权按计划组织作业人员及管理人员培训，指导规范作业，乙方应调整好生产，接受甲方组织的培训。</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6.根据对乙方的检查考核结果按招标文件规定按实向乙方支付作业服务费用。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7.听取乙方提出的建议并给予答复。</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8.按合同约定的时间和方式向乙方支付服务费。</w:t>
      </w:r>
    </w:p>
    <w:p>
      <w:pPr>
        <w:keepNext w:val="0"/>
        <w:keepLines w:val="0"/>
        <w:pageBreakBefore w:val="0"/>
        <w:widowControl w:val="0"/>
        <w:numPr>
          <w:ilvl w:val="0"/>
          <w:numId w:val="17"/>
        </w:numPr>
        <w:kinsoku/>
        <w:wordWrap/>
        <w:overflowPunct/>
        <w:topLinePunct w:val="0"/>
        <w:autoSpaceDE/>
        <w:autoSpaceDN/>
        <w:bidi w:val="0"/>
        <w:adjustRightInd/>
        <w:spacing w:line="360" w:lineRule="auto"/>
        <w:ind w:firstLine="482" w:firstLineChars="200"/>
        <w:jc w:val="left"/>
        <w:textAlignment w:val="auto"/>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乙方权利和义务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1.甲方无正当理由克扣或拖欠乙方经费，乙方可向相关监管部门投诉。</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根据甲方要求和投标书所作的承诺自觉开展各项工作，确保承包管理的大型转运站稳定呈现干净整洁的面貌；严禁收取非生活垃圾以外的其他垃圾；严禁在承包管理的大型转运站内从事非经甲方认定或有碍甲方利益的各类业务（如承接垃圾收运、倾倒等以及利用大型转运站收运垃圾牟利等）。</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3.接受甲方及各级管理部门的检查考核。</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为保证管理工作正常有效开展，乙方须根据《中华人民共和国劳动法》和用工要求组建固定的工作队伍，按要求将从业人员资料、作业计划（含作业设备、工具）和管理预案，报甲方备案。制定和建立管理相关制度和台账记录，经甲方认可并备案。</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5.乙方配备专用、专业大型转运站工作用具，人员统一着装上岗，并独立承担作业人员及大型转运站运行过程中的安全责任、用人责任。</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6.乙方均应服从甲方要求和安排，做好应急工作。</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7.按照甲方大型转运站管理的相关要求和标准建立每日自查制度，按统一检查表登记，并按月报甲方。</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8.接受社会监督，对有责投诉必须按时间要求进行整改，并将整改结果报甲方。</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9.乙方的工作人员在岗履行职责期间（包括上下班途中），发生自身的人身伤害、伤亡，均由乙方负责处理并承担经济和道义上的责任，甲方不承担任何责任。</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10.服务范围内的机械设备由采购单位配备，乙方负责正常的维护维修保养。服务期结束后乙方要保证设备、设施的完好。</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11.大型转运站的房屋主体结构的维修不在乙方的维修范围内，但乙方要保持墙体完好整洁，不出现脱落及污损等。</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12.车辆保险到期前一个月签订保险合同，并将电子版保险合同交甲方备案。</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13.未经甲方同意，擅自将合同转让或进行分包的，甲方有权解除合同，同时乙方向甲方偿付违约金。分包单位均由乙方负责统一协调和管理。如因分包单位管理不力导致发生事故的，乙方将承担管理责任和连带责任。</w:t>
      </w:r>
    </w:p>
    <w:p>
      <w:pPr>
        <w:keepNext w:val="0"/>
        <w:keepLines w:val="0"/>
        <w:pageBreakBefore w:val="0"/>
        <w:widowControl w:val="0"/>
        <w:numPr>
          <w:ilvl w:val="0"/>
          <w:numId w:val="17"/>
        </w:numPr>
        <w:kinsoku/>
        <w:wordWrap/>
        <w:overflowPunct/>
        <w:topLinePunct w:val="0"/>
        <w:autoSpaceDE/>
        <w:autoSpaceDN/>
        <w:bidi w:val="0"/>
        <w:adjustRightInd/>
        <w:spacing w:line="360" w:lineRule="auto"/>
        <w:ind w:firstLine="482" w:firstLineChars="200"/>
        <w:jc w:val="left"/>
        <w:textAlignment w:val="auto"/>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服务费及支付方式</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1.本合同项下服务费用（</w:t>
      </w:r>
      <w:r>
        <w:rPr>
          <w:rFonts w:hint="eastAsia" w:ascii="仿宋" w:hAnsi="仿宋" w:eastAsia="仿宋" w:cs="仿宋"/>
          <w:color w:val="auto"/>
          <w:kern w:val="0"/>
          <w:sz w:val="24"/>
          <w:szCs w:val="24"/>
          <w:u w:val="single"/>
        </w:rPr>
        <w:t>　　　</w:t>
      </w:r>
      <w:r>
        <w:rPr>
          <w:rFonts w:hint="eastAsia" w:ascii="仿宋" w:hAnsi="仿宋" w:eastAsia="仿宋" w:cs="仿宋"/>
          <w:color w:val="auto"/>
          <w:kern w:val="0"/>
          <w:sz w:val="24"/>
          <w:szCs w:val="24"/>
        </w:rPr>
        <w:t>年）：</w:t>
      </w:r>
      <w:r>
        <w:rPr>
          <w:rFonts w:hint="eastAsia" w:ascii="仿宋" w:hAnsi="仿宋" w:eastAsia="仿宋" w:cs="仿宋"/>
          <w:bCs/>
          <w:color w:val="auto"/>
          <w:kern w:val="0"/>
          <w:sz w:val="24"/>
          <w:szCs w:val="24"/>
        </w:rPr>
        <w:t>人民币（大写）</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元整；人民币（小写）</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元整。</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2.支付方式： </w:t>
      </w:r>
    </w:p>
    <w:p>
      <w:pPr>
        <w:keepNext w:val="0"/>
        <w:keepLines w:val="0"/>
        <w:pageBreakBefore w:val="0"/>
        <w:widowControl w:val="0"/>
        <w:kinsoku/>
        <w:wordWrap/>
        <w:overflowPunct/>
        <w:topLinePunct w:val="0"/>
        <w:autoSpaceDE/>
        <w:autoSpaceDN/>
        <w:bidi w:val="0"/>
        <w:adjustRightInd/>
        <w:spacing w:line="360" w:lineRule="auto"/>
        <w:ind w:firstLine="482" w:firstLineChars="200"/>
        <w:jc w:val="left"/>
        <w:textAlignment w:val="auto"/>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合同签订后，每3个月根据考核结果向中标人支付运行费用。该项目如遇转运站拆迁、停产改造、产权变更等不可抗因素终止服务，将根据该站实际运行管理时间折算运行费用。甲方有权根据考核标准，依据考核结果从应付款项中扣除相应金额。甲方收到乙方提交完整的请款资料和发票后十五个工作日内向市财政局办理支付服务费用的手续（即视为按时支付），具体支付进度和金额以当年预算下达为准，当年最后一期付款有可能在下一年度支付。</w:t>
      </w:r>
    </w:p>
    <w:p>
      <w:pPr>
        <w:keepNext w:val="0"/>
        <w:keepLines w:val="0"/>
        <w:pageBreakBefore w:val="0"/>
        <w:widowControl w:val="0"/>
        <w:kinsoku/>
        <w:wordWrap/>
        <w:overflowPunct/>
        <w:topLinePunct w:val="0"/>
        <w:autoSpaceDE/>
        <w:autoSpaceDN/>
        <w:bidi w:val="0"/>
        <w:adjustRightInd/>
        <w:spacing w:line="360" w:lineRule="auto"/>
        <w:ind w:firstLine="482" w:firstLineChars="200"/>
        <w:jc w:val="left"/>
        <w:textAlignment w:val="auto"/>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3.根据《住房城乡建设部等4部门关于建立城市环卫工人工资专用账户制度的通知》要求，本合同中约定环卫工人人工费用总额为：          、拨付比例为：            、支付时间：             。在合同签订之日起30日内，甲乙双方与相关银行签订开立专用账户、资金管理三方(采购单位、环卫企业、银行)协议。</w:t>
      </w:r>
    </w:p>
    <w:p>
      <w:pPr>
        <w:keepNext w:val="0"/>
        <w:keepLines w:val="0"/>
        <w:pageBreakBefore w:val="0"/>
        <w:widowControl w:val="0"/>
        <w:numPr>
          <w:ilvl w:val="0"/>
          <w:numId w:val="17"/>
        </w:numPr>
        <w:kinsoku/>
        <w:wordWrap/>
        <w:overflowPunct/>
        <w:topLinePunct w:val="0"/>
        <w:autoSpaceDE/>
        <w:autoSpaceDN/>
        <w:bidi w:val="0"/>
        <w:adjustRightInd/>
        <w:spacing w:line="360" w:lineRule="auto"/>
        <w:ind w:firstLine="482" w:firstLineChars="200"/>
        <w:jc w:val="left"/>
        <w:textAlignment w:val="auto"/>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合同期限</w:t>
      </w:r>
    </w:p>
    <w:p>
      <w:pPr>
        <w:keepNext w:val="0"/>
        <w:keepLines w:val="0"/>
        <w:pageBreakBefore w:val="0"/>
        <w:widowControl w:val="0"/>
        <w:kinsoku/>
        <w:wordWrap/>
        <w:overflowPunct/>
        <w:topLinePunct w:val="0"/>
        <w:autoSpaceDE/>
        <w:autoSpaceDN/>
        <w:bidi w:val="0"/>
        <w:adjustRightInd/>
        <w:spacing w:line="360" w:lineRule="auto"/>
        <w:ind w:left="560"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合同期限：</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pPr>
        <w:keepNext w:val="0"/>
        <w:keepLines w:val="0"/>
        <w:pageBreakBefore w:val="0"/>
        <w:widowControl w:val="0"/>
        <w:numPr>
          <w:ilvl w:val="0"/>
          <w:numId w:val="17"/>
        </w:numPr>
        <w:kinsoku/>
        <w:wordWrap/>
        <w:overflowPunct/>
        <w:topLinePunct w:val="0"/>
        <w:autoSpaceDE/>
        <w:autoSpaceDN/>
        <w:bidi w:val="0"/>
        <w:adjustRightInd/>
        <w:spacing w:line="360" w:lineRule="auto"/>
        <w:ind w:firstLine="482" w:firstLineChars="200"/>
        <w:jc w:val="left"/>
        <w:textAlignment w:val="auto"/>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违约责任</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1.甲方违约责任：</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在合同生效后，甲方要求解除合同的，乙方同意的，甲方向乙方偿付合同总价款5%的违约金，违约金不足以补偿损失的，乙方有权要求甲方补足。</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2.乙方的违约责任：</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2.1甲方按照《转运站作业质量考核标准》对乙方工作及履行合同情况进行检查考核后，涉及扣分的，乙方须认可相关扣款。</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2.2</w:t>
      </w:r>
      <w:r>
        <w:rPr>
          <w:rFonts w:hint="eastAsia" w:ascii="仿宋" w:hAnsi="仿宋" w:eastAsia="仿宋" w:cs="仿宋"/>
          <w:color w:val="auto"/>
          <w:kern w:val="0"/>
          <w:sz w:val="24"/>
          <w:szCs w:val="24"/>
        </w:rPr>
        <w:t>乙方未按合同规定的质量要求提供服务，经甲方催告后仍拒不改正的，甲方有权解除合同，同时乙方向甲方偿付合同总价款5%的违约金，违约金不足以补偿损失的甲方有权要求乙方补足。</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w:t>
      </w:r>
      <w:r>
        <w:rPr>
          <w:rFonts w:hint="eastAsia" w:ascii="仿宋" w:hAnsi="仿宋" w:eastAsia="仿宋" w:cs="仿宋"/>
          <w:color w:val="auto"/>
          <w:kern w:val="0"/>
          <w:sz w:val="24"/>
          <w:szCs w:val="24"/>
          <w:lang w:eastAsia="zh-CN"/>
        </w:rPr>
        <w:t>3</w:t>
      </w:r>
      <w:r>
        <w:rPr>
          <w:rFonts w:hint="eastAsia" w:ascii="仿宋" w:hAnsi="仿宋" w:eastAsia="仿宋" w:cs="仿宋"/>
          <w:color w:val="auto"/>
          <w:kern w:val="0"/>
          <w:sz w:val="24"/>
          <w:szCs w:val="24"/>
        </w:rPr>
        <w:t>乙方必须自己完成合同内容，不得自行分包或转包，否则，甲方有权视为乙方无能力履行合同，乙方需要分包的都必须在投标文件中明确分包单位的主体情况及分包内容。</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w:t>
      </w:r>
      <w:r>
        <w:rPr>
          <w:rFonts w:hint="eastAsia" w:ascii="仿宋" w:hAnsi="仿宋" w:eastAsia="仿宋" w:cs="仿宋"/>
          <w:color w:val="auto"/>
          <w:kern w:val="0"/>
          <w:sz w:val="24"/>
          <w:szCs w:val="24"/>
          <w:lang w:eastAsia="zh-CN"/>
        </w:rPr>
        <w:t>4</w:t>
      </w:r>
      <w:r>
        <w:rPr>
          <w:rFonts w:hint="eastAsia" w:ascii="仿宋" w:hAnsi="仿宋" w:eastAsia="仿宋" w:cs="仿宋"/>
          <w:color w:val="auto"/>
          <w:kern w:val="0"/>
          <w:sz w:val="24"/>
          <w:szCs w:val="24"/>
        </w:rPr>
        <w:t>乙方应执行国家有关规定，负责乙方员工的生病、事故、伤残、死亡和劳务纠纷，甲方不承担任何相关责任。</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w:t>
      </w:r>
      <w:r>
        <w:rPr>
          <w:rFonts w:hint="eastAsia" w:ascii="仿宋" w:hAnsi="仿宋" w:eastAsia="仿宋" w:cs="仿宋"/>
          <w:color w:val="auto"/>
          <w:kern w:val="0"/>
          <w:sz w:val="24"/>
          <w:szCs w:val="24"/>
          <w:lang w:val="en-US" w:eastAsia="zh-CN"/>
        </w:rPr>
        <w:t>5</w:t>
      </w:r>
      <w:r>
        <w:rPr>
          <w:rFonts w:hint="eastAsia" w:ascii="仿宋" w:hAnsi="仿宋" w:eastAsia="仿宋" w:cs="仿宋"/>
          <w:color w:val="auto"/>
          <w:kern w:val="0"/>
          <w:sz w:val="24"/>
          <w:szCs w:val="24"/>
        </w:rPr>
        <w:t>乙方负有对自己员工的安全责任，甲方不承担任何相关责任。</w:t>
      </w:r>
    </w:p>
    <w:p>
      <w:pPr>
        <w:keepNext w:val="0"/>
        <w:keepLines w:val="0"/>
        <w:pageBreakBefore w:val="0"/>
        <w:widowControl w:val="0"/>
        <w:numPr>
          <w:ilvl w:val="0"/>
          <w:numId w:val="17"/>
        </w:numPr>
        <w:kinsoku/>
        <w:wordWrap/>
        <w:overflowPunct/>
        <w:topLinePunct w:val="0"/>
        <w:autoSpaceDE/>
        <w:autoSpaceDN/>
        <w:bidi w:val="0"/>
        <w:adjustRightInd/>
        <w:spacing w:line="360" w:lineRule="auto"/>
        <w:ind w:firstLine="482" w:firstLineChars="200"/>
        <w:jc w:val="left"/>
        <w:textAlignment w:val="auto"/>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合同的变更及终止</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2.本条所述的“不可抗力”系指那些双方无法控制，不可预见的事件，但不包括双方的违约或疏忽。这些事件包括但不限于：战争、严重火灾、洪水、台风、地震以及其他双方商定的事件。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4.在甲方因乙方违约而按合同约定采取的任何补救措施不受影响的情况下，甲方可在下列情况下向乙方发出书面通知，提出终止部分或全部合同。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4.1如果乙方未能在合同规定的限期或甲方同意延长的限期内提供部分或全部服务。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4.2 如果乙方未能履行合同规定的其他任何义务。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4.3如果乙方在本合同的竞争或实施中有腐败和欺诈行为。为此，定义如下：“腐败行为”是指提供、给予、接受或索取任何有价值的东西来影响相关工作人员在采购过程或合同实施过程中的行为；“欺诈行为”是指为了影响采购过程或合同实施过程而谎报事实，损害甲方的利益，包括投标单位之间串通、围标，人为地使采购活动丧失竞争性，损害甲方所能获得的权益。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5.如果甲方根据以上规定，终止合同或提前解除合同，甲方可以依其认为适当的条件和方法购买与未提供服务类似的服务，乙方应对购买类似服务所超出的那部分费用负责。</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6.如果甲方违约，应承担相应的违约责任。 </w:t>
      </w:r>
    </w:p>
    <w:p>
      <w:pPr>
        <w:keepNext w:val="0"/>
        <w:keepLines w:val="0"/>
        <w:pageBreakBefore w:val="0"/>
        <w:widowControl w:val="0"/>
        <w:numPr>
          <w:ilvl w:val="0"/>
          <w:numId w:val="17"/>
        </w:numPr>
        <w:kinsoku/>
        <w:wordWrap/>
        <w:overflowPunct/>
        <w:topLinePunct w:val="0"/>
        <w:autoSpaceDE/>
        <w:autoSpaceDN/>
        <w:bidi w:val="0"/>
        <w:adjustRightInd/>
        <w:spacing w:line="360" w:lineRule="auto"/>
        <w:ind w:firstLine="482" w:firstLineChars="200"/>
        <w:jc w:val="left"/>
        <w:textAlignment w:val="auto"/>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合同转让及分包</w:t>
      </w:r>
    </w:p>
    <w:p>
      <w:pPr>
        <w:keepNext w:val="0"/>
        <w:keepLines w:val="0"/>
        <w:pageBreakBefore w:val="0"/>
        <w:widowControl w:val="0"/>
        <w:numPr>
          <w:ilvl w:val="0"/>
          <w:numId w:val="18"/>
        </w:numPr>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污水处理设备、除尘除臭处理设备日常运行工作允许分包，但均由总包单位负责统一协调和管理。总承包单位须提前将承包方资质、人员等相关材料提交给甲方，并经甲方书面同意后方可进行分包。未经甲方同意，擅自将合同转让或进行分包的，甲方有权解除合同，同时乙方向甲方偿付违约金。进行处理、操作作业的承包方须具备相关资质以及人员并签订相关管理协议，明确各自的生产管理职责，并指定专职管理人员进行协调和检查。如因分包单位管理不力导致发生事故的，总包单位将承担管理责任和连带责任。</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2.有下列情况之一，合同方可以解除合同：</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（1）因不可抗力致使不能实现合同目的，未受不可抗力影响的一方有权解除合同；</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（2）因合同一方违约导致合同不能履行，另一方有权解除合同。</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3.有权解除合同的一方，应当在违约事实或不可抗力发生之后30天内书面通知对方提出解除合同，合同在书面通知到达对方时解除。</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4.如果乙方在合同期内出现下列现象之一的，甲方有权终止其合同：</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乙方管理混乱，人员、设备不按要求配置或大型转运站环境脏乱差的、设备维护保养不力，以及疏于检查致使大型转运站混倒入非生活垃圾的，甲方可实施约谈，服务期内累计3次受到环卫管理部门书面通报并约谈的（含三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（2）被新闻媒体曝光或引起重大舆情三次以上（含三次）；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（3）乙方在合同期内当月考核扣款超过月合同金额的10%，或重大活动期间因工作不到位造成重大影响的；</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（4）服务期间，不执行指令性任务或未按相关要求、标准完成任务，达两次以上（含二次）；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（5）未经甲方同意，擅自将合同转让或进行分包的；</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（6）如发生罢工、重大安全事故，或拖欠员工工资等劳资纠纷的，或有其他严重情节的；</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（7）未经甲方同意接受其他来源生活垃圾进入大型转运站的；擅自接收建筑、工业、医疗、危险、放射性废弃物以及大件垃圾等非生活垃圾进入大型转运站；</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（8）设备出现故障后拒绝维修或者维修后丧失原设计功能的；</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（9）受到上级部门书面通报批评；</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（10）其他重大违法现象。</w:t>
      </w:r>
    </w:p>
    <w:p>
      <w:pPr>
        <w:keepNext w:val="0"/>
        <w:keepLines w:val="0"/>
        <w:pageBreakBefore w:val="0"/>
        <w:widowControl w:val="0"/>
        <w:numPr>
          <w:ilvl w:val="0"/>
          <w:numId w:val="17"/>
        </w:numPr>
        <w:kinsoku/>
        <w:wordWrap/>
        <w:overflowPunct/>
        <w:topLinePunct w:val="0"/>
        <w:autoSpaceDE/>
        <w:autoSpaceDN/>
        <w:bidi w:val="0"/>
        <w:adjustRightInd/>
        <w:spacing w:line="360" w:lineRule="auto"/>
        <w:ind w:firstLine="482" w:firstLineChars="200"/>
        <w:jc w:val="left"/>
        <w:textAlignment w:val="auto"/>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合同生效及其他</w:t>
      </w:r>
    </w:p>
    <w:p>
      <w:pPr>
        <w:keepNext w:val="0"/>
        <w:keepLines w:val="0"/>
        <w:pageBreakBefore w:val="0"/>
        <w:widowControl w:val="0"/>
        <w:tabs>
          <w:tab w:val="left" w:pos="0"/>
          <w:tab w:val="left" w:pos="945"/>
        </w:tabs>
        <w:kinsoku/>
        <w:wordWrap/>
        <w:overflowPunct/>
        <w:topLinePunct w:val="0"/>
        <w:autoSpaceDE/>
        <w:autoSpaceDN/>
        <w:bidi w:val="0"/>
        <w:adjustRightInd/>
        <w:spacing w:line="360" w:lineRule="auto"/>
        <w:ind w:firstLine="480" w:firstLineChars="200"/>
        <w:textAlignment w:val="auto"/>
        <w:rPr>
          <w:rFonts w:ascii="仿宋" w:hAnsi="仿宋" w:eastAsia="仿宋" w:cs="仿宋"/>
          <w:bCs/>
          <w:color w:val="auto"/>
          <w:kern w:val="0"/>
          <w:sz w:val="24"/>
          <w:szCs w:val="24"/>
        </w:rPr>
      </w:pPr>
      <w:r>
        <w:rPr>
          <w:rFonts w:hint="eastAsia" w:ascii="仿宋" w:hAnsi="仿宋" w:eastAsia="仿宋" w:cs="仿宋"/>
          <w:color w:val="auto"/>
          <w:kern w:val="0"/>
          <w:sz w:val="24"/>
          <w:szCs w:val="24"/>
        </w:rPr>
        <w:t>1.</w:t>
      </w:r>
      <w:r>
        <w:rPr>
          <w:rFonts w:hint="eastAsia" w:ascii="仿宋" w:hAnsi="仿宋" w:eastAsia="仿宋" w:cs="仿宋"/>
          <w:bCs/>
          <w:color w:val="auto"/>
          <w:kern w:val="0"/>
          <w:sz w:val="24"/>
          <w:szCs w:val="24"/>
        </w:rPr>
        <w:t>合同经供需双方代表签字并盖章，且在江苏通汇工程管理咨询有限公司见证后即生效。</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ascii="仿宋" w:hAnsi="仿宋" w:eastAsia="仿宋" w:cs="仿宋"/>
          <w:bCs/>
          <w:color w:val="auto"/>
          <w:kern w:val="0"/>
          <w:sz w:val="24"/>
          <w:szCs w:val="24"/>
        </w:rPr>
      </w:pPr>
      <w:r>
        <w:rPr>
          <w:rFonts w:hint="eastAsia" w:ascii="仿宋" w:hAnsi="仿宋" w:eastAsia="仿宋" w:cs="仿宋"/>
          <w:bCs/>
          <w:color w:val="auto"/>
          <w:kern w:val="0"/>
          <w:sz w:val="24"/>
          <w:szCs w:val="24"/>
        </w:rPr>
        <w:t>2.合同签订后甲乙双方即直接产生权利与义务的关系，合同执行过程中出现的问题应按照合同约定、法律法规的规定办理，在合同履行过程中，双方如有争议，</w:t>
      </w:r>
      <w:r>
        <w:rPr>
          <w:rFonts w:hint="eastAsia" w:ascii="仿宋" w:hAnsi="仿宋" w:eastAsia="仿宋" w:cs="仿宋"/>
          <w:color w:val="auto"/>
          <w:kern w:val="0"/>
          <w:sz w:val="24"/>
          <w:szCs w:val="24"/>
        </w:rPr>
        <w:t>由甲乙双方协商处理，若协商不成，</w:t>
      </w:r>
      <w:r>
        <w:rPr>
          <w:rFonts w:hint="eastAsia" w:ascii="仿宋" w:hAnsi="仿宋" w:eastAsia="仿宋" w:cs="仿宋"/>
          <w:bCs/>
          <w:color w:val="auto"/>
          <w:kern w:val="0"/>
          <w:sz w:val="24"/>
          <w:szCs w:val="24"/>
        </w:rPr>
        <w:t>可选择以下</w:t>
      </w:r>
      <w:r>
        <w:rPr>
          <w:rFonts w:hint="eastAsia" w:ascii="仿宋" w:hAnsi="仿宋" w:eastAsia="仿宋" w:cs="仿宋"/>
          <w:color w:val="auto"/>
          <w:kern w:val="0"/>
          <w:sz w:val="24"/>
          <w:szCs w:val="24"/>
          <w:u w:val="single"/>
        </w:rPr>
        <w:t>（2）</w:t>
      </w:r>
      <w:r>
        <w:rPr>
          <w:rFonts w:hint="eastAsia" w:ascii="仿宋" w:hAnsi="仿宋" w:eastAsia="仿宋" w:cs="仿宋"/>
          <w:bCs/>
          <w:color w:val="auto"/>
          <w:kern w:val="0"/>
          <w:sz w:val="24"/>
          <w:szCs w:val="24"/>
        </w:rPr>
        <w:t>方式处理：</w:t>
      </w:r>
    </w:p>
    <w:p>
      <w:pPr>
        <w:keepNext w:val="0"/>
        <w:keepLines w:val="0"/>
        <w:pageBreakBefore w:val="0"/>
        <w:widowControl w:val="0"/>
        <w:tabs>
          <w:tab w:val="left" w:pos="525"/>
          <w:tab w:val="left" w:pos="945"/>
        </w:tabs>
        <w:kinsoku/>
        <w:wordWrap/>
        <w:overflowPunct/>
        <w:topLinePunct w:val="0"/>
        <w:autoSpaceDE/>
        <w:autoSpaceDN/>
        <w:bidi w:val="0"/>
        <w:adjustRightInd/>
        <w:spacing w:line="360" w:lineRule="auto"/>
        <w:ind w:firstLine="480" w:firstLineChars="200"/>
        <w:textAlignment w:val="auto"/>
        <w:rPr>
          <w:rFonts w:ascii="仿宋" w:hAnsi="仿宋" w:eastAsia="仿宋" w:cs="仿宋"/>
          <w:color w:val="auto"/>
          <w:kern w:val="0"/>
          <w:sz w:val="24"/>
          <w:szCs w:val="24"/>
        </w:rPr>
      </w:pPr>
      <w:r>
        <w:rPr>
          <w:rFonts w:hint="eastAsia" w:ascii="仿宋" w:hAnsi="仿宋" w:eastAsia="仿宋" w:cs="仿宋"/>
          <w:color w:val="auto"/>
          <w:kern w:val="0"/>
          <w:sz w:val="24"/>
          <w:szCs w:val="24"/>
        </w:rPr>
        <w:t>（1）向无锡仲裁委员会申请仲裁。</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ascii="仿宋" w:hAnsi="仿宋" w:eastAsia="仿宋" w:cs="仿宋"/>
          <w:bCs/>
          <w:color w:val="auto"/>
          <w:kern w:val="0"/>
          <w:sz w:val="24"/>
          <w:szCs w:val="24"/>
        </w:rPr>
      </w:pPr>
      <w:r>
        <w:rPr>
          <w:rFonts w:hint="eastAsia" w:ascii="仿宋" w:hAnsi="仿宋" w:eastAsia="仿宋" w:cs="仿宋"/>
          <w:color w:val="auto"/>
          <w:kern w:val="0"/>
          <w:sz w:val="24"/>
          <w:szCs w:val="24"/>
        </w:rPr>
        <w:t>（2）向需方所在地法院提起诉讼。</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ascii="仿宋" w:hAnsi="仿宋" w:eastAsia="仿宋" w:cs="仿宋"/>
          <w:bCs/>
          <w:color w:val="auto"/>
          <w:kern w:val="0"/>
          <w:sz w:val="24"/>
          <w:szCs w:val="24"/>
        </w:rPr>
      </w:pPr>
      <w:r>
        <w:rPr>
          <w:rFonts w:hint="eastAsia" w:ascii="仿宋" w:hAnsi="仿宋" w:eastAsia="仿宋" w:cs="仿宋"/>
          <w:bCs/>
          <w:color w:val="auto"/>
          <w:kern w:val="0"/>
          <w:sz w:val="24"/>
          <w:szCs w:val="24"/>
        </w:rPr>
        <w:t>2.合同在执行过程中出现的未尽事宜，双方在不违背本合同和招标文件的原则下协商解决，协商结果以书面形式签订补充协议，且补充协议与本合同具有同等效力。</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ascii="仿宋" w:hAnsi="仿宋" w:eastAsia="仿宋" w:cs="仿宋"/>
          <w:bCs/>
          <w:color w:val="auto"/>
          <w:kern w:val="0"/>
          <w:sz w:val="24"/>
          <w:szCs w:val="24"/>
        </w:rPr>
      </w:pPr>
      <w:r>
        <w:rPr>
          <w:rFonts w:hint="eastAsia" w:ascii="仿宋" w:hAnsi="仿宋" w:eastAsia="仿宋" w:cs="仿宋"/>
          <w:bCs/>
          <w:color w:val="auto"/>
          <w:kern w:val="0"/>
          <w:sz w:val="24"/>
          <w:szCs w:val="24"/>
        </w:rPr>
        <w:t>3.甲乙双方确认：对本合同条款及后果均已知悉，一致确认不存在欺诈、胁迫、乘人之危、重大误解、显失公平等任何可能导致合同无效或被撤销的情形。</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ascii="仿宋" w:hAnsi="仿宋" w:eastAsia="仿宋" w:cs="仿宋"/>
          <w:bCs/>
          <w:color w:val="auto"/>
          <w:kern w:val="0"/>
          <w:sz w:val="24"/>
          <w:szCs w:val="24"/>
        </w:rPr>
      </w:pPr>
      <w:r>
        <w:rPr>
          <w:rFonts w:hint="eastAsia" w:ascii="仿宋" w:hAnsi="仿宋" w:eastAsia="仿宋" w:cs="仿宋"/>
          <w:bCs/>
          <w:color w:val="auto"/>
          <w:kern w:val="0"/>
          <w:sz w:val="24"/>
          <w:szCs w:val="24"/>
        </w:rPr>
        <w:t>4.</w:t>
      </w:r>
      <w:r>
        <w:rPr>
          <w:rFonts w:hint="eastAsia" w:ascii="仿宋" w:hAnsi="仿宋" w:eastAsia="仿宋" w:cs="仿宋"/>
          <w:color w:val="auto"/>
          <w:kern w:val="0"/>
          <w:sz w:val="24"/>
          <w:szCs w:val="24"/>
        </w:rPr>
        <w:t>合同中未有约定的按照有关的法律法规以及国家行业标准或技术文件规定予以解决。</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bCs/>
          <w:color w:val="auto"/>
          <w:kern w:val="0"/>
          <w:sz w:val="24"/>
          <w:szCs w:val="24"/>
        </w:rPr>
      </w:pPr>
      <w:r>
        <w:rPr>
          <w:rFonts w:hint="eastAsia" w:ascii="仿宋" w:hAnsi="仿宋" w:eastAsia="仿宋" w:cs="仿宋"/>
          <w:bCs/>
          <w:color w:val="auto"/>
          <w:kern w:val="0"/>
          <w:sz w:val="24"/>
          <w:szCs w:val="24"/>
        </w:rPr>
        <w:t>第十条 双方认为需要约定的其他事项。</w:t>
      </w:r>
    </w:p>
    <w:p>
      <w:pPr>
        <w:keepNext w:val="0"/>
        <w:keepLines w:val="0"/>
        <w:pageBreakBefore w:val="0"/>
        <w:widowControl w:val="0"/>
        <w:tabs>
          <w:tab w:val="left" w:pos="210"/>
          <w:tab w:val="left" w:pos="840"/>
          <w:tab w:val="left" w:pos="1155"/>
        </w:tabs>
        <w:kinsoku/>
        <w:wordWrap/>
        <w:overflowPunct/>
        <w:topLinePunct w:val="0"/>
        <w:autoSpaceDE/>
        <w:autoSpaceDN/>
        <w:bidi w:val="0"/>
        <w:adjustRightInd/>
        <w:spacing w:line="360" w:lineRule="auto"/>
        <w:ind w:left="420" w:firstLine="480" w:firstLineChars="200"/>
        <w:textAlignment w:val="auto"/>
        <w:rPr>
          <w:rFonts w:ascii="仿宋" w:hAnsi="仿宋" w:eastAsia="仿宋" w:cs="仿宋"/>
          <w:bCs/>
          <w:color w:val="auto"/>
          <w:kern w:val="0"/>
          <w:sz w:val="24"/>
          <w:szCs w:val="24"/>
        </w:rPr>
      </w:pP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bCs/>
          <w:color w:val="auto"/>
          <w:kern w:val="0"/>
          <w:sz w:val="24"/>
          <w:szCs w:val="24"/>
          <w:u w:val="single"/>
        </w:rPr>
      </w:pPr>
      <w:r>
        <w:rPr>
          <w:rFonts w:hint="eastAsia" w:ascii="仿宋" w:hAnsi="仿宋" w:eastAsia="仿宋" w:cs="仿宋"/>
          <w:bCs/>
          <w:color w:val="auto"/>
          <w:kern w:val="0"/>
          <w:sz w:val="24"/>
          <w:szCs w:val="24"/>
        </w:rPr>
        <w:t>需方（采购人）：</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（盖章）   供方（中标方）：</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（盖章）</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bCs/>
          <w:color w:val="auto"/>
          <w:kern w:val="0"/>
          <w:sz w:val="24"/>
          <w:szCs w:val="24"/>
          <w:u w:val="single"/>
        </w:rPr>
      </w:pPr>
      <w:r>
        <w:rPr>
          <w:rFonts w:hint="eastAsia" w:ascii="仿宋" w:hAnsi="仿宋" w:eastAsia="仿宋" w:cs="仿宋"/>
          <w:bCs/>
          <w:color w:val="auto"/>
          <w:kern w:val="0"/>
          <w:sz w:val="24"/>
          <w:szCs w:val="24"/>
        </w:rPr>
        <w:t>法定（授权）代表人：</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u w:val="single"/>
          <w:lang w:val="en-US" w:eastAsia="zh-CN"/>
        </w:rPr>
        <w:t xml:space="preserve"> </w:t>
      </w:r>
      <w:r>
        <w:rPr>
          <w:rFonts w:hint="eastAsia" w:ascii="仿宋" w:hAnsi="仿宋" w:eastAsia="仿宋" w:cs="仿宋"/>
          <w:bCs/>
          <w:color w:val="auto"/>
          <w:kern w:val="0"/>
          <w:sz w:val="24"/>
          <w:szCs w:val="24"/>
        </w:rPr>
        <w:t xml:space="preserve">   </w:t>
      </w:r>
      <w:r>
        <w:rPr>
          <w:rFonts w:hint="eastAsia" w:ascii="仿宋" w:hAnsi="仿宋" w:eastAsia="仿宋" w:cs="仿宋"/>
          <w:bCs/>
          <w:color w:val="auto"/>
          <w:kern w:val="0"/>
          <w:sz w:val="24"/>
          <w:szCs w:val="24"/>
          <w:lang w:val="en-US" w:eastAsia="zh-CN"/>
        </w:rPr>
        <w:t xml:space="preserve">   </w:t>
      </w:r>
      <w:r>
        <w:rPr>
          <w:rFonts w:hint="eastAsia" w:ascii="仿宋" w:hAnsi="仿宋" w:eastAsia="仿宋" w:cs="仿宋"/>
          <w:bCs/>
          <w:color w:val="auto"/>
          <w:kern w:val="0"/>
          <w:sz w:val="24"/>
          <w:szCs w:val="24"/>
        </w:rPr>
        <w:t>法定（授权）代表人：</w:t>
      </w:r>
      <w:r>
        <w:rPr>
          <w:rFonts w:hint="eastAsia" w:ascii="仿宋" w:hAnsi="仿宋" w:eastAsia="仿宋" w:cs="仿宋"/>
          <w:bCs/>
          <w:color w:val="auto"/>
          <w:kern w:val="0"/>
          <w:sz w:val="24"/>
          <w:szCs w:val="24"/>
          <w:u w:val="single"/>
        </w:rPr>
        <w:t xml:space="preserve">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bCs/>
          <w:color w:val="auto"/>
          <w:kern w:val="0"/>
          <w:sz w:val="24"/>
          <w:szCs w:val="24"/>
          <w:u w:val="single"/>
        </w:rPr>
      </w:pP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年</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月</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 xml:space="preserve">日               </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年</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月</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 xml:space="preserve">日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bCs/>
          <w:color w:val="auto"/>
          <w:kern w:val="0"/>
          <w:sz w:val="24"/>
          <w:szCs w:val="24"/>
          <w:u w:val="single"/>
        </w:rPr>
      </w:pPr>
      <w:r>
        <w:rPr>
          <w:rFonts w:hint="eastAsia" w:ascii="仿宋" w:hAnsi="仿宋" w:eastAsia="仿宋" w:cs="仿宋"/>
          <w:bCs/>
          <w:color w:val="auto"/>
          <w:kern w:val="0"/>
          <w:sz w:val="24"/>
          <w:szCs w:val="24"/>
        </w:rPr>
        <w:t>见证方： （盖章）                        供方户名：</w:t>
      </w:r>
      <w:r>
        <w:rPr>
          <w:rFonts w:hint="eastAsia" w:ascii="仿宋" w:hAnsi="仿宋" w:eastAsia="仿宋" w:cs="仿宋"/>
          <w:bCs/>
          <w:color w:val="auto"/>
          <w:kern w:val="0"/>
          <w:sz w:val="24"/>
          <w:szCs w:val="24"/>
          <w:u w:val="single"/>
        </w:rPr>
        <w:t xml:space="preserve">                             </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仿宋" w:hAnsi="仿宋" w:eastAsia="仿宋" w:cs="仿宋"/>
          <w:bCs/>
          <w:color w:val="auto"/>
          <w:kern w:val="0"/>
          <w:sz w:val="24"/>
          <w:szCs w:val="24"/>
          <w:u w:val="single"/>
        </w:rPr>
      </w:pPr>
      <w:r>
        <w:rPr>
          <w:rFonts w:hint="eastAsia" w:ascii="仿宋" w:hAnsi="仿宋" w:eastAsia="仿宋" w:cs="仿宋"/>
          <w:bCs/>
          <w:color w:val="auto"/>
          <w:kern w:val="0"/>
          <w:sz w:val="24"/>
          <w:szCs w:val="24"/>
        </w:rPr>
        <w:t>见证人：</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 xml:space="preserve">                     供方开户银行：</w:t>
      </w:r>
      <w:r>
        <w:rPr>
          <w:rFonts w:hint="eastAsia" w:ascii="仿宋" w:hAnsi="仿宋" w:eastAsia="仿宋" w:cs="仿宋"/>
          <w:bCs/>
          <w:color w:val="auto"/>
          <w:kern w:val="0"/>
          <w:sz w:val="24"/>
          <w:szCs w:val="24"/>
          <w:u w:val="single"/>
        </w:rPr>
        <w:t xml:space="preserve">                         </w:t>
      </w:r>
    </w:p>
    <w:p>
      <w:pPr>
        <w:spacing w:line="360" w:lineRule="auto"/>
        <w:ind w:firstLine="480"/>
        <w:rPr>
          <w:rFonts w:hint="eastAsia" w:ascii="宋体" w:hAnsi="宋体" w:eastAsia="宋体" w:cs="宋体"/>
          <w:bCs/>
          <w:color w:val="auto"/>
          <w:sz w:val="24"/>
          <w:szCs w:val="24"/>
          <w:highlight w:val="none"/>
          <w:u w:val="single"/>
        </w:rPr>
      </w:pP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年</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月</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kern w:val="0"/>
          <w:sz w:val="24"/>
          <w:szCs w:val="24"/>
        </w:rPr>
        <w:t>日              供方账号：</w:t>
      </w:r>
      <w:r>
        <w:rPr>
          <w:rFonts w:hint="eastAsia" w:ascii="仿宋" w:hAnsi="仿宋" w:eastAsia="仿宋" w:cs="仿宋"/>
          <w:bCs/>
          <w:color w:val="auto"/>
          <w:kern w:val="0"/>
          <w:sz w:val="24"/>
          <w:szCs w:val="24"/>
          <w:u w:val="single"/>
        </w:rPr>
        <w:t xml:space="preserve">                   </w:t>
      </w:r>
      <w:r>
        <w:rPr>
          <w:rFonts w:hint="eastAsia" w:ascii="仿宋" w:hAnsi="仿宋" w:eastAsia="仿宋" w:cs="仿宋"/>
          <w:bCs/>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p>
    <w:p>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br w:type="page" w:clear="all"/>
      </w:r>
    </w:p>
    <w:p>
      <w:pPr>
        <w:rPr>
          <w:rFonts w:hint="eastAsia" w:ascii="仿宋" w:hAnsi="仿宋" w:eastAsia="仿宋" w:cs="仿宋"/>
          <w:color w:val="auto"/>
          <w:sz w:val="24"/>
          <w:szCs w:val="24"/>
          <w:highlight w:val="none"/>
          <w:lang w:val="en-US" w:eastAsia="zh-CN"/>
        </w:rPr>
      </w:pPr>
      <w:r>
        <w:rPr>
          <w:rFonts w:hint="eastAsia"/>
          <w:color w:val="auto"/>
          <w:highlight w:val="none"/>
          <w:lang w:val="en-US" w:eastAsia="zh-CN"/>
        </w:rPr>
        <w:t>附件：</w:t>
      </w:r>
    </w:p>
    <w:bookmarkEnd w:id="24"/>
    <w:tbl>
      <w:tblPr>
        <w:tblStyle w:val="30"/>
        <w:tblW w:w="5000" w:type="pct"/>
        <w:tblInd w:w="0" w:type="dxa"/>
        <w:tblLayout w:type="autofit"/>
        <w:tblCellMar>
          <w:top w:w="0" w:type="dxa"/>
          <w:left w:w="108" w:type="dxa"/>
          <w:bottom w:w="0" w:type="dxa"/>
          <w:right w:w="108" w:type="dxa"/>
        </w:tblCellMar>
      </w:tblPr>
      <w:tblGrid>
        <w:gridCol w:w="904"/>
        <w:gridCol w:w="936"/>
        <w:gridCol w:w="4005"/>
        <w:gridCol w:w="3541"/>
        <w:gridCol w:w="576"/>
      </w:tblGrid>
      <w:tr>
        <w:tblPrEx>
          <w:tblCellMar>
            <w:top w:w="0" w:type="dxa"/>
            <w:left w:w="108" w:type="dxa"/>
            <w:bottom w:w="0" w:type="dxa"/>
            <w:right w:w="108" w:type="dxa"/>
          </w:tblCellMar>
        </w:tblPrEx>
        <w:trPr>
          <w:trHeight w:val="630" w:hRule="atLeast"/>
        </w:trPr>
        <w:tc>
          <w:tcPr>
            <w:tcW w:w="5000" w:type="pct"/>
            <w:gridSpan w:val="5"/>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top"/>
              <w:rPr>
                <w:rFonts w:ascii="仿宋" w:hAnsi="仿宋" w:eastAsia="仿宋" w:cs="仿宋"/>
                <w:color w:val="auto"/>
                <w:kern w:val="0"/>
                <w:sz w:val="28"/>
                <w:szCs w:val="28"/>
              </w:rPr>
            </w:pPr>
            <w:r>
              <w:rPr>
                <w:rFonts w:hint="eastAsia" w:ascii="仿宋" w:hAnsi="仿宋" w:eastAsia="仿宋" w:cs="仿宋"/>
                <w:color w:val="auto"/>
                <w:kern w:val="0"/>
                <w:sz w:val="28"/>
                <w:szCs w:val="28"/>
                <w:lang w:bidi="ar"/>
              </w:rPr>
              <w:t>转运站作业质量考核标准</w:t>
            </w:r>
          </w:p>
        </w:tc>
      </w:tr>
      <w:tr>
        <w:tblPrEx>
          <w:tblCellMar>
            <w:top w:w="0" w:type="dxa"/>
            <w:left w:w="108" w:type="dxa"/>
            <w:bottom w:w="0" w:type="dxa"/>
            <w:right w:w="108" w:type="dxa"/>
          </w:tblCellMar>
        </w:tblPrEx>
        <w:trPr>
          <w:trHeight w:val="500" w:hRule="atLeast"/>
        </w:trPr>
        <w:tc>
          <w:tcPr>
            <w:tcW w:w="4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考核类别</w:t>
            </w:r>
          </w:p>
        </w:tc>
        <w:tc>
          <w:tcPr>
            <w:tcW w:w="40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考核项目</w:t>
            </w: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考核内容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扣分标准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分值</w:t>
            </w:r>
          </w:p>
        </w:tc>
      </w:tr>
      <w:tr>
        <w:tblPrEx>
          <w:tblCellMar>
            <w:top w:w="0" w:type="dxa"/>
            <w:left w:w="108" w:type="dxa"/>
            <w:bottom w:w="0" w:type="dxa"/>
            <w:right w:w="108" w:type="dxa"/>
          </w:tblCellMar>
        </w:tblPrEx>
        <w:trPr>
          <w:trHeight w:val="900" w:hRule="atLeast"/>
        </w:trPr>
        <w:tc>
          <w:tcPr>
            <w:tcW w:w="47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一、运行操作与管理</w:t>
            </w:r>
          </w:p>
        </w:tc>
        <w:tc>
          <w:tcPr>
            <w:tcW w:w="40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（一）垃圾进站和卸料系统（14分）</w:t>
            </w: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1.称重计量系统信息实时传输、车牌识别功能连续稳定运行。</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故障且未及时上报的，扣1分/次。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72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2.称重计量系统运行维护制度正常开展，按期委托有资质的第三方机构对称重计量系统进行校验，并提供相应合格报告。维修前向主管单位提交书面报告并做好维修期间入站车辆手工记录。</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未及时校验的扣2分，故障维修未及时上报的扣1分。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50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3.进站垃圾车须按要求经主管单位审核通过、录入车牌识别系统，并经进站地磅称重计量方可进站，出站前应经过出站地磅称重后离开。</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发现车辆进出站不符合该要求的，扣1分/次。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40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4.对进站收集车的进站秩序、车容车貌、超限要求等规范要求进行有效约束，收集车拒不整改的报市环卫中心。</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发现车辆不满足该要求且未采取措施约束的，扣1分/项。</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84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5.站内调度人员及时调度，确保车辆有序、站内道路畅通。</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未有效管理，扣 1 分/次。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96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6.现场操作人员落实安全措施，垃圾车卸料后及时清理卸料口垃圾。</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未有效管理，扣 1 分/次。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306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7.随机检查进站垃圾成分，严禁特种垃圾、工业垃圾、有毒有害垃圾、医疗垃圾等生活垃圾以外的其它物质进站中转。禁止将易燃、易爆、腐蚀性化学品以及其他危险材料放入压缩箱。</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现场抽查、监控视频检查及终端卸料检查反馈，发现问题的，如箱体内少量夹带工业垃圾、特种垃圾等，扣1分/次；如车内夹带工业垃圾、特种垃圾量较大，扣2分/次；如发现有毒有害垃圾、医疗垃圾等，扣3分/次；如发现易燃、易爆、腐蚀性化学品以及其他危险材料，扣5分/次。（该条扣分不设小项分值，以大项“垃圾进站和卸料系统”总分14分为限）</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r>
      <w:tr>
        <w:tblPrEx>
          <w:tblCellMar>
            <w:top w:w="0" w:type="dxa"/>
            <w:left w:w="108" w:type="dxa"/>
            <w:bottom w:w="0" w:type="dxa"/>
            <w:right w:w="108" w:type="dxa"/>
          </w:tblCellMar>
        </w:tblPrEx>
        <w:trPr>
          <w:trHeight w:val="74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8.卸料完毕后应及时关闭卸料门。</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1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w:t>
            </w:r>
          </w:p>
        </w:tc>
      </w:tr>
      <w:tr>
        <w:tblPrEx>
          <w:tblCellMar>
            <w:top w:w="0" w:type="dxa"/>
            <w:left w:w="108" w:type="dxa"/>
            <w:bottom w:w="0" w:type="dxa"/>
            <w:right w:w="108" w:type="dxa"/>
          </w:tblCellMar>
        </w:tblPrEx>
        <w:trPr>
          <w:trHeight w:val="1050" w:hRule="atLeast"/>
        </w:trPr>
        <w:tc>
          <w:tcPr>
            <w:tcW w:w="47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一、运行操作与管理</w:t>
            </w:r>
          </w:p>
        </w:tc>
        <w:tc>
          <w:tcPr>
            <w:tcW w:w="40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（二）垃圾转运系统（15分）</w:t>
            </w:r>
          </w:p>
        </w:tc>
        <w:tc>
          <w:tcPr>
            <w:tcW w:w="2028"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1.按要求操作压缩转运系统，转运箱体装载得当。</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本月发现有超载率超10%的车辆时，不超过10车次扣1分，超过10车次而不超过20车次扣2分，超过20车次以上的扣3分。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35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left"/>
              <w:rPr>
                <w:rFonts w:ascii="仿宋" w:hAnsi="仿宋" w:eastAsia="仿宋" w:cs="仿宋"/>
                <w:color w:val="auto"/>
                <w:kern w:val="0"/>
                <w:sz w:val="24"/>
                <w:szCs w:val="24"/>
              </w:rPr>
            </w:pP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本月发现超载率超30%的车辆，扣1分/车次。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92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2.转运车车容整洁、无破损，按规定统一标识。</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检查发现问题的，扣 1 分/车次。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64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3.转运车密闭运输，按规定路线行驶，途中不出现垃圾和污水抛、撒、滴、漏现象，文明驾驶。</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检查发现问题或收到相关有责投诉的，扣 1分/车次。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110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4.转运车服从市环卫中心统一调度，听从处置终端秩序安排，配合做好终端计量工作。</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不服从调度和安排的，扣 2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125"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5.转运车每日使用结束后，按要求检查和清洗完毕，停放至对应停车场。</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未按要求实施的扣1分。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w:t>
            </w:r>
          </w:p>
        </w:tc>
      </w:tr>
      <w:tr>
        <w:tblPrEx>
          <w:tblCellMar>
            <w:top w:w="0" w:type="dxa"/>
            <w:left w:w="108" w:type="dxa"/>
            <w:bottom w:w="0" w:type="dxa"/>
            <w:right w:w="108" w:type="dxa"/>
          </w:tblCellMar>
        </w:tblPrEx>
        <w:trPr>
          <w:trHeight w:val="1125"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6.按时对转运车辆上安装的车载定位器等接入服务费等进行维护和续费，确保正常使用。</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发现有未能正常使用的，扣 1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w:t>
            </w:r>
          </w:p>
        </w:tc>
      </w:tr>
      <w:tr>
        <w:tblPrEx>
          <w:tblCellMar>
            <w:top w:w="0" w:type="dxa"/>
            <w:left w:w="108" w:type="dxa"/>
            <w:bottom w:w="0" w:type="dxa"/>
            <w:right w:w="108" w:type="dxa"/>
          </w:tblCellMar>
        </w:tblPrEx>
        <w:trPr>
          <w:trHeight w:val="134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（三）污染控制系统（9分）</w:t>
            </w: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1.作业时按要求开启抽风、喷淋除尘除臭系统，使用的消耗药剂、除臭剂、活性炭等定期更换，符合使用要求，配比有效合理，除臭效果良好、无异味。</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1 分/处。</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98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2.污水收集和贮存系统完好、运行稳定；及时检查污水收集井（池），不满溢、合规处置。</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1 分/次。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96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3.各种污水排放管道、箱体污水排放通道每天进行清洗疏通，确保污水排放通畅。</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存在问题的，扣 1 分/处。</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380" w:hRule="atLeast"/>
        </w:trPr>
        <w:tc>
          <w:tcPr>
            <w:tcW w:w="47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一、运行操作与管理</w:t>
            </w: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4.对污水处理过程进行数据记录及分析，并应定期对水处理指标进行检测并形成台账，发现问题应记录详细问题情况及处理结果。</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相关记录台账不齐全，扣 1分/处。</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144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5.接受主管部门委托的各项污染排放指标监测行为；配合相关环保抽检工作，异常情况及时上报。</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不配合监测的扣 2 分/次，监测指标异常的扣1分/项。（该条扣分不设小项分值，以大项“污染控制系统”总分9分为限）</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r>
      <w:tr>
        <w:tblPrEx>
          <w:tblCellMar>
            <w:top w:w="0" w:type="dxa"/>
            <w:left w:w="108" w:type="dxa"/>
            <w:bottom w:w="0" w:type="dxa"/>
            <w:right w:w="108" w:type="dxa"/>
          </w:tblCellMar>
        </w:tblPrEx>
        <w:trPr>
          <w:trHeight w:val="1380" w:hRule="atLeast"/>
        </w:trPr>
        <w:tc>
          <w:tcPr>
            <w:tcW w:w="47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二、设施设备配置和使用</w:t>
            </w:r>
          </w:p>
        </w:tc>
        <w:tc>
          <w:tcPr>
            <w:tcW w:w="40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（一）规范使用（9分）</w:t>
            </w: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1.转运站规范运行所需的各项证照齐全，包括但不限于排水证、排污证等。</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发现有遗漏或者过期的，扣2分/项。</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4</w:t>
            </w:r>
          </w:p>
        </w:tc>
      </w:tr>
      <w:tr>
        <w:tblPrEx>
          <w:tblCellMar>
            <w:top w:w="0" w:type="dxa"/>
            <w:left w:w="108" w:type="dxa"/>
            <w:bottom w:w="0" w:type="dxa"/>
            <w:right w:w="108" w:type="dxa"/>
          </w:tblCellMar>
        </w:tblPrEx>
        <w:trPr>
          <w:trHeight w:val="126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2.人员对设备操作、站内设施点位等熟悉。</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查看现场操作并询问，站内人员对设施设备掌握情况不到位的，扣 1分/处。</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36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3.正确操作、使用设施设备，现场设备正常运行。</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检查设备是否正常使用，发现有未能正常使用情况且未及时上报的，扣1 分/次；作业时不正确使用设施设备，造成设备损坏，扣3分。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154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（二）维护保养（9分）</w:t>
            </w: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1.设施设备损坏或故障应及时上报，应由运行单位维修的应上报维修计划并按计划维修，不影响站内垃圾正常转运。</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未按计划及时维修的扣1分。影响转运的扣2分。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72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2.设施设备按规定保养。</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发现有设备保养不当的，扣1分/台。</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78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3.配套车辆手续齐全且按规定保养。</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发现问题的，扣 1 分/台。</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42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4.转运站主体建筑和坡道维护完好，无违章乱搭建和飞线等情况。</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主体建筑和坡道有损坏未报备的，扣1分，较严重的扣2分。存在违章乱搭建、飞线等情况的，扣1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1280" w:hRule="atLeast"/>
        </w:trPr>
        <w:tc>
          <w:tcPr>
            <w:tcW w:w="47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三、</w:t>
            </w:r>
          </w:p>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内部</w:t>
            </w:r>
          </w:p>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管理</w:t>
            </w:r>
          </w:p>
        </w:tc>
        <w:tc>
          <w:tcPr>
            <w:tcW w:w="40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（一）制度建设和落实（10分）</w:t>
            </w: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1.各种管理制度、岗位职责和管理措施等完备，并认真实施。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存在问题的，扣 1 分/项。</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194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 、计量、运行、设备维保、环保设备计算参数、环保耗材购买及使用、污染排放指标数据备份等各项运行台账分类清晰、记录完整准确、装订规范、保管得当。有专用档案管理室且管理规范。</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存在问题的，扣 1 分/项。</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88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3.场内标志标识齐全、完整。</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标志标识不齐全、不完整，扣 1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w:t>
            </w:r>
          </w:p>
        </w:tc>
      </w:tr>
      <w:tr>
        <w:tblPrEx>
          <w:tblCellMar>
            <w:top w:w="0" w:type="dxa"/>
            <w:left w:w="108" w:type="dxa"/>
            <w:bottom w:w="0" w:type="dxa"/>
            <w:right w:w="108" w:type="dxa"/>
          </w:tblCellMar>
        </w:tblPrEx>
        <w:trPr>
          <w:trHeight w:val="78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4.人员配置合理，各岗位人员按要求到岗。</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1 分／人次。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98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5.具有完善的岗前培训体系，人员持证挂牌上岗，着装统一。</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1 分／人次。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12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restart"/>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（二）环境卫生（7分）</w:t>
            </w: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1.站内主体建筑、办公楼等设施完好整洁。</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1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w:t>
            </w:r>
          </w:p>
        </w:tc>
      </w:tr>
      <w:tr>
        <w:tblPrEx>
          <w:tblCellMar>
            <w:top w:w="0" w:type="dxa"/>
            <w:left w:w="108" w:type="dxa"/>
            <w:bottom w:w="0" w:type="dxa"/>
            <w:right w:w="108" w:type="dxa"/>
          </w:tblCellMar>
        </w:tblPrEx>
        <w:trPr>
          <w:trHeight w:val="92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2.站内设施物件布置规划合理，标线清晰，摆放有序，车辆停放整齐，车容车貌整洁。</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1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w:t>
            </w:r>
          </w:p>
        </w:tc>
      </w:tr>
      <w:tr>
        <w:tblPrEx>
          <w:tblCellMar>
            <w:top w:w="0" w:type="dxa"/>
            <w:left w:w="108" w:type="dxa"/>
            <w:bottom w:w="0" w:type="dxa"/>
            <w:right w:w="108" w:type="dxa"/>
          </w:tblCellMar>
        </w:tblPrEx>
        <w:trPr>
          <w:trHeight w:val="78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3.站内外绿化完好，无枯枝杂草、无践踏足迹。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1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w:t>
            </w:r>
          </w:p>
        </w:tc>
      </w:tr>
      <w:tr>
        <w:tblPrEx>
          <w:tblCellMar>
            <w:top w:w="0" w:type="dxa"/>
            <w:left w:w="108" w:type="dxa"/>
            <w:bottom w:w="0" w:type="dxa"/>
            <w:right w:w="108" w:type="dxa"/>
          </w:tblCellMar>
        </w:tblPrEx>
        <w:trPr>
          <w:trHeight w:val="144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4.站内场地干净整洁，车辆有序停放；无积水、无污渍、无杂物堆放；办公管理区域内办公用品摆放整齐，环境干净整洁。</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1 分/处。</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805"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5.按规定做好消杀作业。</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1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w:t>
            </w:r>
          </w:p>
        </w:tc>
      </w:tr>
      <w:tr>
        <w:tblPrEx>
          <w:tblCellMar>
            <w:top w:w="0" w:type="dxa"/>
            <w:left w:w="108" w:type="dxa"/>
            <w:bottom w:w="0" w:type="dxa"/>
            <w:right w:w="108" w:type="dxa"/>
          </w:tblCellMar>
        </w:tblPrEx>
        <w:trPr>
          <w:trHeight w:val="105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（三）安全管理（12分）</w:t>
            </w:r>
          </w:p>
        </w:tc>
        <w:tc>
          <w:tcPr>
            <w:tcW w:w="2028"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1.安全管理制度完善、有效落实，未发生安全责任事故。</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发生人员重伤、死亡事故或重大财产事故扣 5 分/次（该条扣分不受小项分值限制，以大项“安全管理”总分12分为限）。</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r>
      <w:tr>
        <w:tblPrEx>
          <w:tblCellMar>
            <w:top w:w="0" w:type="dxa"/>
            <w:left w:w="108" w:type="dxa"/>
            <w:bottom w:w="0" w:type="dxa"/>
            <w:right w:w="108" w:type="dxa"/>
          </w:tblCellMar>
        </w:tblPrEx>
        <w:trPr>
          <w:trHeight w:val="70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left"/>
              <w:rPr>
                <w:rFonts w:ascii="仿宋" w:hAnsi="仿宋" w:eastAsia="仿宋" w:cs="仿宋"/>
                <w:color w:val="auto"/>
                <w:kern w:val="0"/>
                <w:sz w:val="24"/>
                <w:szCs w:val="24"/>
              </w:rPr>
            </w:pP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转运过程中发生有责交通事故的，根据交警部门认定结果，次责的扣1分/车次，主责的扣2分/车次。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96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2.灭火器材配备到位。</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未配备有效灭火器材，扣0.5分/处。</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04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3.防雷防爆等设施设备配备齐全且按规定检测。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不满足要求的，扣1分/处。</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875"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4.按时开展安全教育培训、建立完善的运行管理应急预案及各类突发事件、突发恶劣天气等专项预案并组织演练，安全设施、设备配置齐全，安全防护措施、应急物资到位。</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未达到要求，扣1 分/处。</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105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5.防爆区域及危废间应做好隔离措施，非专业人员禁止入内，需进行定期巡检，进入防爆区域及危废间应有人员进出台账。</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2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040" w:hRule="atLeast"/>
        </w:trPr>
        <w:tc>
          <w:tcPr>
            <w:tcW w:w="47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四、</w:t>
            </w:r>
          </w:p>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其他</w:t>
            </w:r>
          </w:p>
        </w:tc>
        <w:tc>
          <w:tcPr>
            <w:tcW w:w="40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其他管理（15分）</w:t>
            </w: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1.按照环保、环卫主管部门当前要求接入相应在线监管系统并保持正常运行。</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2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56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2.积极配合视频信息监控系统建设，落实视频监控设施设备日常维护工作，不得擅自改变视频监控方向，不得发生有意妨碍监控的行为。</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未及时维护的，扣 1 分/次；擅自改变视频监控方向及有意妨碍监控的，扣 1 分/次。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40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3.对监管部门提出的整改意见及时反馈，具备立即整改条件的应立即整改，不具备立即整改条件的，应提交整改计划。</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未达到要求，扣 2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118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4.转运站运行过程中接到相关有责投诉的，应妥善处理和回复，同时报市环卫中心。</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处理不当的，扣2分/次；未及时报市环卫中心的，扣1分/次。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3</w:t>
            </w:r>
          </w:p>
        </w:tc>
      </w:tr>
      <w:tr>
        <w:tblPrEx>
          <w:tblCellMar>
            <w:top w:w="0" w:type="dxa"/>
            <w:left w:w="108" w:type="dxa"/>
            <w:bottom w:w="0" w:type="dxa"/>
            <w:right w:w="108" w:type="dxa"/>
          </w:tblCellMar>
        </w:tblPrEx>
        <w:trPr>
          <w:trHeight w:val="98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5.对人员安全、起火等重大事件应在 1 小时内告知市环卫中心，48 小时内提交书面报告。</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事件发生后迟报、瞒报、漏报，扣 2 分/次。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4</w:t>
            </w:r>
          </w:p>
        </w:tc>
      </w:tr>
      <w:tr>
        <w:tblPrEx>
          <w:tblCellMar>
            <w:top w:w="0" w:type="dxa"/>
            <w:left w:w="108" w:type="dxa"/>
            <w:bottom w:w="0" w:type="dxa"/>
            <w:right w:w="108" w:type="dxa"/>
          </w:tblCellMar>
        </w:tblPrEx>
        <w:trPr>
          <w:trHeight w:val="800" w:hRule="atLeast"/>
        </w:trPr>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40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c>
          <w:tcPr>
            <w:tcW w:w="20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6.服从市环卫中心的管理和调度。</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不配合相关工作的，扣 2 分。</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2</w:t>
            </w:r>
          </w:p>
        </w:tc>
      </w:tr>
      <w:tr>
        <w:tblPrEx>
          <w:tblCellMar>
            <w:top w:w="0" w:type="dxa"/>
            <w:left w:w="108" w:type="dxa"/>
            <w:bottom w:w="0" w:type="dxa"/>
            <w:right w:w="108" w:type="dxa"/>
          </w:tblCellMar>
        </w:tblPrEx>
        <w:trPr>
          <w:trHeight w:val="460" w:hRule="atLeast"/>
        </w:trPr>
        <w:tc>
          <w:tcPr>
            <w:tcW w:w="4704" w:type="pct"/>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合计</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 xml:space="preserve">100 </w:t>
            </w:r>
          </w:p>
        </w:tc>
      </w:tr>
      <w:tr>
        <w:tblPrEx>
          <w:tblCellMar>
            <w:top w:w="0" w:type="dxa"/>
            <w:left w:w="108" w:type="dxa"/>
            <w:bottom w:w="0" w:type="dxa"/>
            <w:right w:w="108" w:type="dxa"/>
          </w:tblCellMar>
        </w:tblPrEx>
        <w:trPr>
          <w:trHeight w:val="1200" w:hRule="atLeast"/>
        </w:trPr>
        <w:tc>
          <w:tcPr>
            <w:tcW w:w="4704" w:type="pct"/>
            <w:gridSpan w:val="4"/>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注：1、该考核分值总分100分，得分低于90分时，每多扣1分扣款10000元。</w:t>
            </w:r>
          </w:p>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bidi="ar"/>
              </w:rPr>
              <w:t xml:space="preserve">    2.每一“考核内容”内对应分值扣完为止（有特殊说明的项目扣分不受小项分值限制，以大项总分为限，该大项分值扣完为止）。</w:t>
            </w:r>
          </w:p>
        </w:tc>
        <w:tc>
          <w:tcPr>
            <w:tcW w:w="295" w:type="pct"/>
            <w:tcBorders>
              <w:top w:val="nil"/>
              <w:left w:val="nil"/>
              <w:bottom w:val="nil"/>
              <w:right w:val="nil"/>
            </w:tcBorders>
            <w:noWrap w:val="0"/>
            <w:vAlign w:val="top"/>
          </w:tcPr>
          <w:p>
            <w:pPr>
              <w:keepNext w:val="0"/>
              <w:keepLines w:val="0"/>
              <w:pageBreakBefore w:val="0"/>
              <w:kinsoku/>
              <w:wordWrap/>
              <w:overflowPunct/>
              <w:topLinePunct w:val="0"/>
              <w:autoSpaceDE/>
              <w:autoSpaceDN/>
              <w:bidi w:val="0"/>
              <w:adjustRightInd/>
              <w:snapToGrid/>
              <w:spacing w:line="320" w:lineRule="exact"/>
              <w:jc w:val="center"/>
              <w:rPr>
                <w:rFonts w:ascii="仿宋" w:hAnsi="仿宋" w:eastAsia="仿宋" w:cs="仿宋"/>
                <w:color w:val="auto"/>
                <w:kern w:val="0"/>
                <w:sz w:val="24"/>
                <w:szCs w:val="24"/>
              </w:rPr>
            </w:pPr>
          </w:p>
        </w:tc>
      </w:tr>
    </w:tbl>
    <w:p>
      <w:pPr>
        <w:rPr>
          <w:rFonts w:hint="eastAsia"/>
          <w:color w:val="auto"/>
          <w:highlight w:val="none"/>
          <w:lang w:val="en-US" w:eastAsia="zh-CN"/>
        </w:rPr>
      </w:pPr>
    </w:p>
    <w:p>
      <w:pP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br w:type="page" w:clear="all"/>
      </w:r>
    </w:p>
    <w:p>
      <w:pPr>
        <w:spacing w:line="360" w:lineRule="auto"/>
        <w:ind w:firstLine="482"/>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第五部分   附件（投标文件格式）</w:t>
      </w:r>
      <w:bookmarkEnd w:id="23"/>
    </w:p>
    <w:p>
      <w:pPr>
        <w:spacing w:line="300" w:lineRule="auto"/>
        <w:rPr>
          <w:rFonts w:hint="eastAsia" w:ascii="仿宋" w:hAnsi="仿宋" w:eastAsia="仿宋" w:cs="仿宋"/>
          <w:bCs/>
          <w:color w:val="auto"/>
          <w:sz w:val="32"/>
          <w:highlight w:val="none"/>
        </w:rPr>
      </w:pPr>
    </w:p>
    <w:p>
      <w:pPr>
        <w:pStyle w:val="215"/>
        <w:rPr>
          <w:rFonts w:hint="eastAsia" w:ascii="仿宋" w:hAnsi="仿宋" w:eastAsia="仿宋" w:cs="仿宋"/>
          <w:color w:val="auto"/>
          <w:highlight w:val="none"/>
        </w:rPr>
      </w:pPr>
    </w:p>
    <w:p>
      <w:pPr>
        <w:spacing w:line="360" w:lineRule="auto"/>
        <w:jc w:val="center"/>
        <w:rPr>
          <w:rFonts w:hint="eastAsia" w:ascii="仿宋" w:hAnsi="仿宋" w:eastAsia="仿宋" w:cs="仿宋"/>
          <w:b/>
          <w:color w:val="auto"/>
          <w:sz w:val="48"/>
          <w:highlight w:val="none"/>
          <w:u w:val="single"/>
        </w:rPr>
      </w:pPr>
      <w:r>
        <w:rPr>
          <w:rFonts w:hint="eastAsia" w:ascii="仿宋" w:hAnsi="仿宋" w:eastAsia="仿宋" w:cs="仿宋"/>
          <w:b/>
          <w:color w:val="auto"/>
          <w:sz w:val="48"/>
          <w:highlight w:val="none"/>
          <w:u w:val="single"/>
          <w:lang w:eastAsia="zh-CN"/>
        </w:rPr>
        <w:t>2026年城区大型转运站（南长、滨湖生活垃圾转运站）运行管理项目</w:t>
      </w:r>
    </w:p>
    <w:p>
      <w:pPr>
        <w:spacing w:line="360" w:lineRule="auto"/>
        <w:jc w:val="center"/>
        <w:rPr>
          <w:rFonts w:hint="eastAsia" w:ascii="仿宋" w:hAnsi="仿宋" w:eastAsia="仿宋" w:cs="仿宋"/>
          <w:b/>
          <w:color w:val="auto"/>
          <w:sz w:val="48"/>
          <w:highlight w:val="none"/>
        </w:rPr>
      </w:pPr>
      <w:r>
        <w:rPr>
          <w:rFonts w:hint="eastAsia" w:ascii="仿宋" w:hAnsi="仿宋" w:eastAsia="仿宋" w:cs="仿宋"/>
          <w:b/>
          <w:color w:val="auto"/>
          <w:sz w:val="48"/>
          <w:highlight w:val="none"/>
        </w:rPr>
        <w:t>投标文件</w:t>
      </w:r>
    </w:p>
    <w:p>
      <w:pPr>
        <w:spacing w:line="360" w:lineRule="auto"/>
        <w:jc w:val="center"/>
        <w:rPr>
          <w:rFonts w:hint="eastAsia" w:ascii="仿宋" w:hAnsi="仿宋" w:eastAsia="仿宋" w:cs="仿宋"/>
          <w:b/>
          <w:color w:val="auto"/>
          <w:sz w:val="48"/>
          <w:highlight w:val="none"/>
        </w:rPr>
      </w:pPr>
    </w:p>
    <w:p>
      <w:pPr>
        <w:spacing w:line="360" w:lineRule="auto"/>
        <w:jc w:val="center"/>
        <w:rPr>
          <w:rFonts w:hint="eastAsia" w:ascii="仿宋" w:hAnsi="仿宋" w:eastAsia="仿宋" w:cs="仿宋"/>
          <w:b/>
          <w:color w:val="auto"/>
          <w:sz w:val="48"/>
          <w:highlight w:val="none"/>
        </w:rPr>
      </w:pPr>
    </w:p>
    <w:p>
      <w:pPr>
        <w:spacing w:line="360" w:lineRule="auto"/>
        <w:rPr>
          <w:rFonts w:hint="eastAsia" w:ascii="仿宋" w:hAnsi="仿宋" w:eastAsia="仿宋" w:cs="仿宋"/>
          <w:b/>
          <w:color w:val="auto"/>
          <w:sz w:val="30"/>
          <w:highlight w:val="none"/>
          <w:u w:val="single"/>
        </w:rPr>
      </w:pPr>
      <w:r>
        <w:rPr>
          <w:rFonts w:hint="eastAsia" w:ascii="仿宋" w:hAnsi="仿宋" w:eastAsia="仿宋" w:cs="仿宋"/>
          <w:b/>
          <w:color w:val="auto"/>
          <w:sz w:val="30"/>
          <w:highlight w:val="none"/>
        </w:rPr>
        <w:t>采购项目编号：</w:t>
      </w:r>
      <w:r>
        <w:rPr>
          <w:rFonts w:hint="eastAsia" w:ascii="仿宋" w:hAnsi="仿宋" w:eastAsia="仿宋" w:cs="仿宋"/>
          <w:b/>
          <w:color w:val="auto"/>
          <w:sz w:val="30"/>
          <w:highlight w:val="none"/>
          <w:u w:val="single"/>
        </w:rPr>
        <w:t xml:space="preserve">                                    </w:t>
      </w:r>
    </w:p>
    <w:p>
      <w:pPr>
        <w:spacing w:line="360" w:lineRule="auto"/>
        <w:rPr>
          <w:rFonts w:hint="eastAsia" w:ascii="仿宋" w:hAnsi="仿宋" w:eastAsia="仿宋" w:cs="仿宋"/>
          <w:b/>
          <w:color w:val="auto"/>
          <w:sz w:val="30"/>
          <w:highlight w:val="none"/>
          <w:u w:val="single"/>
        </w:rPr>
      </w:pPr>
      <w:r>
        <w:rPr>
          <w:rFonts w:hint="eastAsia" w:ascii="仿宋" w:hAnsi="仿宋" w:eastAsia="仿宋" w:cs="仿宋"/>
          <w:b/>
          <w:color w:val="auto"/>
          <w:sz w:val="28"/>
          <w:highlight w:val="none"/>
        </w:rPr>
        <w:t>项目</w:t>
      </w:r>
      <w:r>
        <w:rPr>
          <w:rFonts w:hint="eastAsia" w:ascii="仿宋" w:hAnsi="仿宋" w:eastAsia="仿宋" w:cs="仿宋"/>
          <w:b/>
          <w:color w:val="auto"/>
          <w:sz w:val="30"/>
          <w:highlight w:val="none"/>
        </w:rPr>
        <w:t>名称：</w:t>
      </w:r>
      <w:r>
        <w:rPr>
          <w:rFonts w:hint="eastAsia" w:ascii="仿宋" w:hAnsi="仿宋" w:eastAsia="仿宋" w:cs="仿宋"/>
          <w:b/>
          <w:color w:val="auto"/>
          <w:sz w:val="30"/>
          <w:highlight w:val="none"/>
          <w:u w:val="single"/>
        </w:rPr>
        <w:t xml:space="preserve">                                        </w:t>
      </w:r>
    </w:p>
    <w:p>
      <w:pPr>
        <w:spacing w:line="360" w:lineRule="auto"/>
        <w:rPr>
          <w:rFonts w:hint="eastAsia" w:ascii="仿宋" w:hAnsi="仿宋" w:eastAsia="仿宋" w:cs="仿宋"/>
          <w:color w:val="auto"/>
          <w:sz w:val="30"/>
          <w:szCs w:val="30"/>
          <w:highlight w:val="none"/>
        </w:rPr>
      </w:pPr>
      <w:r>
        <w:rPr>
          <w:rFonts w:hint="eastAsia" w:ascii="仿宋" w:hAnsi="仿宋" w:eastAsia="仿宋" w:cs="仿宋"/>
          <w:b/>
          <w:color w:val="auto"/>
          <w:sz w:val="30"/>
          <w:highlight w:val="none"/>
        </w:rPr>
        <w:t>投标文件内容：</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rPr>
        <w:tab/>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rPr>
        <w:tab/>
      </w:r>
      <w:r>
        <w:rPr>
          <w:rFonts w:hint="eastAsia" w:ascii="仿宋" w:hAnsi="仿宋" w:eastAsia="仿宋" w:cs="仿宋"/>
          <w:b/>
          <w:color w:val="auto"/>
          <w:sz w:val="30"/>
          <w:highlight w:val="none"/>
          <w:u w:val="single"/>
        </w:rPr>
        <w:t xml:space="preserve">                             </w:t>
      </w:r>
    </w:p>
    <w:p>
      <w:pPr>
        <w:spacing w:line="360" w:lineRule="auto"/>
        <w:rPr>
          <w:rFonts w:hint="eastAsia" w:ascii="仿宋" w:hAnsi="仿宋" w:eastAsia="仿宋" w:cs="仿宋"/>
          <w:b/>
          <w:color w:val="auto"/>
          <w:sz w:val="30"/>
          <w:highlight w:val="none"/>
          <w:u w:val="single"/>
        </w:rPr>
      </w:pPr>
      <w:r>
        <w:rPr>
          <w:rFonts w:hint="eastAsia" w:ascii="仿宋" w:hAnsi="仿宋" w:eastAsia="仿宋" w:cs="仿宋"/>
          <w:b/>
          <w:color w:val="auto"/>
          <w:sz w:val="30"/>
          <w:highlight w:val="none"/>
        </w:rPr>
        <w:t>投标供应商：</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rPr>
        <w:tab/>
      </w:r>
      <w:r>
        <w:rPr>
          <w:rFonts w:hint="eastAsia" w:ascii="仿宋" w:hAnsi="仿宋" w:eastAsia="仿宋" w:cs="仿宋"/>
          <w:b/>
          <w:color w:val="auto"/>
          <w:sz w:val="30"/>
          <w:highlight w:val="none"/>
          <w:u w:val="single"/>
        </w:rPr>
        <w:t xml:space="preserve">                   （盖公章）</w:t>
      </w:r>
    </w:p>
    <w:p>
      <w:pP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t>法定代表人或</w:t>
      </w:r>
    </w:p>
    <w:p>
      <w:pPr>
        <w:spacing w:line="360" w:lineRule="auto"/>
        <w:rPr>
          <w:rFonts w:hint="eastAsia" w:ascii="仿宋" w:hAnsi="仿宋" w:eastAsia="仿宋" w:cs="仿宋"/>
          <w:b/>
          <w:color w:val="auto"/>
          <w:sz w:val="30"/>
          <w:highlight w:val="none"/>
          <w:u w:val="single"/>
        </w:rPr>
      </w:pPr>
      <w:r>
        <w:rPr>
          <w:rFonts w:hint="eastAsia" w:ascii="仿宋" w:hAnsi="仿宋" w:eastAsia="仿宋" w:cs="仿宋"/>
          <w:b/>
          <w:color w:val="auto"/>
          <w:sz w:val="30"/>
          <w:highlight w:val="none"/>
        </w:rPr>
        <w:t>其委托代理人：</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rPr>
        <w:tab/>
      </w:r>
      <w:r>
        <w:rPr>
          <w:rFonts w:hint="eastAsia" w:ascii="仿宋" w:hAnsi="仿宋" w:eastAsia="仿宋" w:cs="仿宋"/>
          <w:b/>
          <w:color w:val="auto"/>
          <w:sz w:val="30"/>
          <w:highlight w:val="none"/>
          <w:u w:val="single"/>
        </w:rPr>
        <w:t xml:space="preserve">          （签字或盖章）</w:t>
      </w:r>
    </w:p>
    <w:p>
      <w:pPr>
        <w:spacing w:line="360" w:lineRule="auto"/>
        <w:rPr>
          <w:rFonts w:hint="eastAsia" w:ascii="仿宋" w:hAnsi="仿宋" w:eastAsia="仿宋" w:cs="仿宋"/>
          <w:b/>
          <w:color w:val="auto"/>
          <w:sz w:val="30"/>
          <w:highlight w:val="none"/>
        </w:rPr>
      </w:pPr>
    </w:p>
    <w:p>
      <w:pP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t>日  期：</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rPr>
        <w:t xml:space="preserve"> 年</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rPr>
        <w:t xml:space="preserve"> 月</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rPr>
        <w:t>日</w:t>
      </w:r>
    </w:p>
    <w:p>
      <w:pPr>
        <w:spacing w:line="360" w:lineRule="auto"/>
        <w:jc w:val="center"/>
        <w:rPr>
          <w:rFonts w:hint="eastAsia" w:ascii="仿宋" w:hAnsi="仿宋" w:eastAsia="仿宋" w:cs="仿宋"/>
          <w:b/>
          <w:color w:val="auto"/>
          <w:sz w:val="44"/>
          <w:szCs w:val="44"/>
          <w:highlight w:val="none"/>
        </w:rPr>
      </w:pPr>
    </w:p>
    <w:p>
      <w:pPr>
        <w:spacing w:line="300" w:lineRule="auto"/>
        <w:rPr>
          <w:rFonts w:hint="eastAsia" w:ascii="仿宋" w:hAnsi="仿宋" w:eastAsia="仿宋" w:cs="仿宋"/>
          <w:bCs/>
          <w:color w:val="auto"/>
          <w:sz w:val="32"/>
          <w:highlight w:val="none"/>
        </w:rPr>
      </w:pPr>
    </w:p>
    <w:p>
      <w:pPr>
        <w:keepNext/>
        <w:keepLines/>
        <w:numPr>
          <w:ilvl w:val="0"/>
          <w:numId w:val="32"/>
        </w:numPr>
        <w:spacing w:before="260" w:after="260" w:line="415" w:lineRule="auto"/>
        <w:jc w:val="left"/>
        <w:outlineLvl w:val="1"/>
        <w:rPr>
          <w:rFonts w:hint="eastAsia" w:ascii="仿宋" w:hAnsi="仿宋" w:eastAsia="仿宋" w:cs="仿宋"/>
          <w:color w:val="auto"/>
          <w:sz w:val="28"/>
          <w:szCs w:val="28"/>
          <w:highlight w:val="none"/>
        </w:rPr>
      </w:pPr>
      <w:r>
        <w:rPr>
          <w:rFonts w:hint="eastAsia" w:ascii="仿宋" w:hAnsi="仿宋" w:eastAsia="仿宋" w:cs="仿宋"/>
          <w:b/>
          <w:bCs/>
          <w:color w:val="auto"/>
          <w:sz w:val="24"/>
          <w:szCs w:val="24"/>
          <w:highlight w:val="none"/>
        </w:rPr>
        <w:br w:type="page" w:clear="all"/>
      </w:r>
      <w:r>
        <w:rPr>
          <w:rFonts w:hint="eastAsia" w:ascii="仿宋" w:hAnsi="仿宋" w:eastAsia="仿宋" w:cs="仿宋"/>
          <w:color w:val="auto"/>
          <w:sz w:val="28"/>
          <w:szCs w:val="28"/>
          <w:highlight w:val="none"/>
        </w:rPr>
        <w:t>关于资格的声明函（格式）</w:t>
      </w:r>
    </w:p>
    <w:p>
      <w:pPr>
        <w:pStyle w:val="215"/>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关于资格的声明函</w:t>
      </w:r>
    </w:p>
    <w:p>
      <w:pPr>
        <w:pStyle w:val="215"/>
        <w:rPr>
          <w:rFonts w:hint="eastAsia" w:ascii="仿宋" w:hAnsi="仿宋" w:eastAsia="仿宋" w:cs="仿宋"/>
          <w:color w:val="auto"/>
          <w:highlight w:val="none"/>
        </w:rPr>
      </w:pPr>
    </w:p>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采购项目编号：</w:t>
      </w:r>
    </w:p>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pPr>
        <w:jc w:val="center"/>
        <w:rPr>
          <w:rFonts w:hint="eastAsia" w:ascii="仿宋" w:hAnsi="仿宋" w:eastAsia="仿宋" w:cs="仿宋"/>
          <w:color w:val="auto"/>
          <w:szCs w:val="24"/>
          <w:highlight w:val="none"/>
        </w:rPr>
      </w:pP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无锡市环境卫生管理服务中心</w:t>
      </w:r>
      <w:r>
        <w:rPr>
          <w:rFonts w:hint="eastAsia" w:ascii="仿宋" w:hAnsi="仿宋" w:eastAsia="仿宋" w:cs="仿宋"/>
          <w:color w:val="auto"/>
          <w:sz w:val="24"/>
          <w:szCs w:val="24"/>
          <w:highlight w:val="none"/>
          <w:u w:val="single"/>
        </w:rPr>
        <w:t xml:space="preserve"> ：</w:t>
      </w:r>
    </w:p>
    <w:p>
      <w:pPr>
        <w:spacing w:line="360" w:lineRule="auto"/>
        <w:ind w:right="34" w:firstLine="40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我公司承诺参加政府采购活动前三年内在经营活动中没有重大违法记录。</w:t>
      </w:r>
    </w:p>
    <w:p>
      <w:pPr>
        <w:spacing w:line="360" w:lineRule="auto"/>
        <w:ind w:right="34" w:firstLine="40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我公司承诺具有履行合同所必需的设备和专业技术能力。</w:t>
      </w:r>
    </w:p>
    <w:p>
      <w:pPr>
        <w:spacing w:line="360" w:lineRule="auto"/>
        <w:ind w:right="34" w:firstLine="40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我公司（单位）愿针对本项目（采购项目编号：　　　　）进行投标，投标文件中所有关于投标资格的文件、证明、陈述均是真实的、准确的。若有违背，我公司（单位）        愿意承担由此而产生的一切后果。</w:t>
      </w:r>
    </w:p>
    <w:p>
      <w:pPr>
        <w:spacing w:line="360" w:lineRule="auto"/>
        <w:ind w:right="34" w:firstLine="403"/>
        <w:jc w:val="left"/>
        <w:rPr>
          <w:rFonts w:hint="eastAsia" w:ascii="仿宋" w:hAnsi="仿宋" w:eastAsia="仿宋" w:cs="仿宋"/>
          <w:color w:val="auto"/>
          <w:sz w:val="24"/>
          <w:szCs w:val="24"/>
          <w:highlight w:val="none"/>
        </w:rPr>
      </w:pPr>
    </w:p>
    <w:p>
      <w:pPr>
        <w:spacing w:line="360" w:lineRule="auto"/>
        <w:ind w:right="34" w:firstLine="403"/>
        <w:jc w:val="left"/>
        <w:rPr>
          <w:rFonts w:hint="eastAsia" w:ascii="仿宋" w:hAnsi="仿宋" w:eastAsia="仿宋" w:cs="仿宋"/>
          <w:color w:val="auto"/>
          <w:highlight w:val="none"/>
        </w:rPr>
      </w:pPr>
    </w:p>
    <w:p>
      <w:pPr>
        <w:spacing w:line="360" w:lineRule="auto"/>
        <w:ind w:right="34" w:firstLine="403"/>
        <w:jc w:val="left"/>
        <w:rPr>
          <w:rFonts w:hint="eastAsia" w:ascii="仿宋" w:hAnsi="仿宋" w:eastAsia="仿宋" w:cs="仿宋"/>
          <w:color w:val="auto"/>
          <w:highlight w:val="none"/>
        </w:rPr>
      </w:pPr>
    </w:p>
    <w:p>
      <w:pPr>
        <w:spacing w:line="360" w:lineRule="auto"/>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投标供应商（盖章）：</w:t>
      </w:r>
    </w:p>
    <w:p>
      <w:pPr>
        <w:spacing w:line="360" w:lineRule="auto"/>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法定代表人或法定代表人授权代表签字或盖章：</w:t>
      </w:r>
    </w:p>
    <w:p>
      <w:pPr>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 财库〔2022〕3号文规定，“较大数额罚款”认定为200万元以上的罚款，法律、行政法规以及国务院有关部门明确规定相关领域“较大数额罚款”标准高于200万元的，从其规定。）</w:t>
      </w:r>
    </w:p>
    <w:p>
      <w:pPr>
        <w:spacing w:line="360" w:lineRule="auto"/>
        <w:rPr>
          <w:rFonts w:hint="eastAsia" w:ascii="仿宋" w:hAnsi="仿宋" w:eastAsia="仿宋" w:cs="仿宋"/>
          <w:color w:val="auto"/>
          <w:sz w:val="24"/>
          <w:szCs w:val="24"/>
          <w:highlight w:val="none"/>
        </w:rPr>
      </w:pPr>
    </w:p>
    <w:p>
      <w:pPr>
        <w:keepNext/>
        <w:keepLines/>
        <w:spacing w:before="260" w:after="260" w:line="415" w:lineRule="auto"/>
        <w:jc w:val="left"/>
        <w:outlineLvl w:val="1"/>
        <w:rPr>
          <w:rFonts w:hint="eastAsia" w:ascii="仿宋" w:hAnsi="仿宋" w:eastAsia="仿宋" w:cs="仿宋"/>
          <w:color w:val="auto"/>
          <w:sz w:val="28"/>
          <w:szCs w:val="28"/>
          <w:highlight w:val="none"/>
        </w:rPr>
      </w:pPr>
      <w:r>
        <w:rPr>
          <w:rFonts w:hint="eastAsia" w:ascii="仿宋" w:hAnsi="仿宋" w:eastAsia="仿宋" w:cs="仿宋"/>
          <w:color w:val="auto"/>
          <w:szCs w:val="24"/>
          <w:highlight w:val="none"/>
        </w:rPr>
        <w:br w:type="page" w:clear="all"/>
      </w:r>
      <w:r>
        <w:rPr>
          <w:rFonts w:hint="eastAsia" w:ascii="仿宋" w:hAnsi="仿宋" w:eastAsia="仿宋" w:cs="仿宋"/>
          <w:color w:val="auto"/>
          <w:sz w:val="28"/>
          <w:szCs w:val="28"/>
          <w:highlight w:val="none"/>
        </w:rPr>
        <w:t>（二）法定代表人授权委托书（格式）</w:t>
      </w:r>
    </w:p>
    <w:p>
      <w:pPr>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法定代表人授权委托书</w:t>
      </w:r>
    </w:p>
    <w:p>
      <w:pPr>
        <w:spacing w:line="360" w:lineRule="auto"/>
        <w:jc w:val="center"/>
        <w:rPr>
          <w:rFonts w:hint="eastAsia" w:ascii="仿宋" w:hAnsi="仿宋" w:eastAsia="仿宋" w:cs="仿宋"/>
          <w:color w:val="auto"/>
          <w:sz w:val="24"/>
          <w:szCs w:val="24"/>
          <w:highlight w:val="none"/>
        </w:rPr>
      </w:pPr>
    </w:p>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采购项目编号：</w:t>
      </w:r>
    </w:p>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pPr>
        <w:spacing w:line="360" w:lineRule="auto"/>
        <w:jc w:val="center"/>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无锡市环境卫生管理服务中心</w:t>
      </w:r>
      <w:r>
        <w:rPr>
          <w:rFonts w:hint="eastAsia" w:ascii="仿宋" w:hAnsi="仿宋" w:eastAsia="仿宋" w:cs="仿宋"/>
          <w:color w:val="auto"/>
          <w:sz w:val="24"/>
          <w:szCs w:val="24"/>
          <w:highlight w:val="none"/>
          <w:u w:val="single"/>
        </w:rPr>
        <w:t xml:space="preserve"> ：</w:t>
      </w:r>
    </w:p>
    <w:p>
      <w:pPr>
        <w:spacing w:line="360" w:lineRule="auto"/>
        <w:rPr>
          <w:rFonts w:hint="eastAsia" w:ascii="仿宋" w:hAnsi="仿宋" w:eastAsia="仿宋" w:cs="仿宋"/>
          <w:color w:val="auto"/>
          <w:sz w:val="24"/>
          <w:szCs w:val="24"/>
          <w:highlight w:val="none"/>
          <w:u w:val="single"/>
        </w:rPr>
      </w:pP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（投标供应商名称）       </w:t>
      </w:r>
      <w:r>
        <w:rPr>
          <w:rFonts w:hint="eastAsia" w:ascii="仿宋" w:hAnsi="仿宋" w:eastAsia="仿宋" w:cs="仿宋"/>
          <w:color w:val="auto"/>
          <w:sz w:val="24"/>
          <w:szCs w:val="24"/>
          <w:highlight w:val="none"/>
        </w:rPr>
        <w:t>系中华人民共和国合法企业，法定地址：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，特授权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代表我公司（单位）全权办理针对本项目（采购项目编号：          ）的报价等具体工作，并签署全部有关文件、协议及合同。</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我公司（单位）对被授权人的签名负全部责任。</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在撤销授权的书面通知送达你处以前，本授权书一直有效，被授权人签署的所有文件（在授权书有效期内签署的）不因授权的撤销而失效。被授权人</w:t>
      </w:r>
      <w:r>
        <w:rPr>
          <w:rFonts w:hint="eastAsia" w:ascii="仿宋" w:hAnsi="仿宋" w:eastAsia="仿宋" w:cs="仿宋"/>
          <w:color w:val="auto"/>
          <w:sz w:val="24"/>
          <w:szCs w:val="24"/>
          <w:highlight w:val="none"/>
          <w:u w:val="single"/>
        </w:rPr>
        <w:t>有（无）</w:t>
      </w:r>
      <w:r>
        <w:rPr>
          <w:rFonts w:hint="eastAsia" w:ascii="仿宋" w:hAnsi="仿宋" w:eastAsia="仿宋" w:cs="仿宋"/>
          <w:color w:val="auto"/>
          <w:sz w:val="24"/>
          <w:szCs w:val="24"/>
          <w:highlight w:val="none"/>
        </w:rPr>
        <w:t>转委托权。</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被授权人情况：</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          性别：         年龄：          职务：</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                   电话：</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被授权人签名：                  单位名称（盖章）：</w:t>
      </w:r>
    </w:p>
    <w:p>
      <w:pPr>
        <w:spacing w:line="360" w:lineRule="auto"/>
        <w:ind w:firstLine="43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法定代表人（签字或盖章）：</w:t>
      </w:r>
    </w:p>
    <w:p>
      <w:pPr>
        <w:spacing w:line="360" w:lineRule="auto"/>
        <w:ind w:firstLine="5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tbl>
      <w:tblPr>
        <w:tblStyle w:val="30"/>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62"/>
        <w:gridCol w:w="720"/>
        <w:gridCol w:w="47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462" w:type="dxa"/>
            <w:noWrap w:val="0"/>
            <w:vAlign w:val="top"/>
          </w:tcPr>
          <w:p>
            <w:pPr>
              <w:widowControl/>
              <w:spacing w:before="4" w:line="360" w:lineRule="auto"/>
              <w:rPr>
                <w:rFonts w:hint="eastAsia" w:ascii="仿宋" w:hAnsi="仿宋" w:eastAsia="仿宋" w:cs="仿宋"/>
                <w:color w:val="auto"/>
                <w:sz w:val="24"/>
                <w:szCs w:val="24"/>
                <w:highlight w:val="none"/>
              </w:rPr>
            </w:pPr>
          </w:p>
          <w:p>
            <w:pPr>
              <w:widowControl/>
              <w:spacing w:before="4" w:line="360" w:lineRule="auto"/>
              <w:rPr>
                <w:rFonts w:hint="eastAsia" w:ascii="仿宋" w:hAnsi="仿宋" w:eastAsia="仿宋" w:cs="仿宋"/>
                <w:color w:val="auto"/>
                <w:sz w:val="24"/>
                <w:szCs w:val="24"/>
                <w:highlight w:val="none"/>
              </w:rPr>
            </w:pPr>
          </w:p>
          <w:p>
            <w:pPr>
              <w:widowControl/>
              <w:spacing w:before="4"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法定代表人身份证扫描件</w:t>
            </w:r>
          </w:p>
          <w:p>
            <w:pPr>
              <w:pStyle w:val="215"/>
              <w:jc w:val="center"/>
              <w:rPr>
                <w:rFonts w:hint="eastAsia" w:ascii="仿宋" w:hAnsi="仿宋" w:eastAsia="仿宋" w:cs="仿宋"/>
                <w:color w:val="auto"/>
                <w:highlight w:val="none"/>
              </w:rPr>
            </w:pPr>
            <w:r>
              <w:rPr>
                <w:rFonts w:hint="eastAsia" w:ascii="仿宋" w:hAnsi="仿宋" w:eastAsia="仿宋" w:cs="仿宋"/>
                <w:color w:val="auto"/>
                <w:sz w:val="24"/>
                <w:szCs w:val="18"/>
                <w:highlight w:val="none"/>
              </w:rPr>
              <w:t>正反面</w:t>
            </w:r>
          </w:p>
        </w:tc>
        <w:tc>
          <w:tcPr>
            <w:tcW w:w="720" w:type="dxa"/>
            <w:noWrap w:val="0"/>
            <w:vAlign w:val="top"/>
          </w:tcPr>
          <w:p>
            <w:pPr>
              <w:widowControl/>
              <w:jc w:val="left"/>
              <w:rPr>
                <w:rFonts w:hint="eastAsia" w:ascii="仿宋" w:hAnsi="仿宋" w:eastAsia="仿宋" w:cs="仿宋"/>
                <w:color w:val="auto"/>
                <w:sz w:val="24"/>
                <w:szCs w:val="24"/>
                <w:highlight w:val="none"/>
              </w:rPr>
            </w:pPr>
          </w:p>
        </w:tc>
        <w:tc>
          <w:tcPr>
            <w:tcW w:w="4741" w:type="dxa"/>
            <w:noWrap w:val="0"/>
            <w:vAlign w:val="top"/>
          </w:tcPr>
          <w:p>
            <w:pPr>
              <w:widowControl/>
              <w:spacing w:before="4" w:line="360" w:lineRule="auto"/>
              <w:rPr>
                <w:rFonts w:hint="eastAsia" w:ascii="仿宋" w:hAnsi="仿宋" w:eastAsia="仿宋" w:cs="仿宋"/>
                <w:color w:val="auto"/>
                <w:sz w:val="24"/>
                <w:szCs w:val="24"/>
                <w:highlight w:val="none"/>
              </w:rPr>
            </w:pPr>
          </w:p>
          <w:p>
            <w:pPr>
              <w:widowControl/>
              <w:spacing w:before="4" w:line="360" w:lineRule="auto"/>
              <w:rPr>
                <w:rFonts w:hint="eastAsia" w:ascii="仿宋" w:hAnsi="仿宋" w:eastAsia="仿宋" w:cs="仿宋"/>
                <w:color w:val="auto"/>
                <w:sz w:val="24"/>
                <w:szCs w:val="24"/>
                <w:highlight w:val="none"/>
              </w:rPr>
            </w:pPr>
          </w:p>
          <w:p>
            <w:pPr>
              <w:widowControl/>
              <w:spacing w:before="4"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授权代表身份证扫描件</w:t>
            </w:r>
          </w:p>
          <w:p>
            <w:pPr>
              <w:pStyle w:val="215"/>
              <w:jc w:val="center"/>
              <w:rPr>
                <w:rFonts w:hint="eastAsia" w:ascii="仿宋" w:hAnsi="仿宋" w:eastAsia="仿宋" w:cs="仿宋"/>
                <w:color w:val="auto"/>
                <w:highlight w:val="none"/>
              </w:rPr>
            </w:pPr>
            <w:r>
              <w:rPr>
                <w:rFonts w:hint="eastAsia" w:ascii="仿宋" w:hAnsi="仿宋" w:eastAsia="仿宋" w:cs="仿宋"/>
                <w:color w:val="auto"/>
                <w:sz w:val="24"/>
                <w:szCs w:val="18"/>
                <w:highlight w:val="none"/>
              </w:rPr>
              <w:t>正反面</w:t>
            </w:r>
          </w:p>
        </w:tc>
      </w:tr>
    </w:tbl>
    <w:p>
      <w:pPr>
        <w:keepNext/>
        <w:keepLines/>
        <w:spacing w:before="260" w:after="260" w:line="415" w:lineRule="auto"/>
        <w:jc w:val="left"/>
        <w:outlineLvl w:val="1"/>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8"/>
          <w:szCs w:val="28"/>
          <w:highlight w:val="none"/>
        </w:rPr>
        <w:t>（三）承诺书（格式）</w:t>
      </w:r>
    </w:p>
    <w:p>
      <w:pPr>
        <w:spacing w:before="240" w:line="360" w:lineRule="auto"/>
        <w:ind w:firstLine="48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承诺书一（格式）</w:t>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    （采购人名称）           </w:t>
      </w:r>
    </w:p>
    <w:p>
      <w:pPr>
        <w:spacing w:before="240" w:line="360" w:lineRule="auto"/>
        <w:ind w:firstLine="480"/>
        <w:rPr>
          <w:rFonts w:hint="eastAsia" w:ascii="仿宋" w:hAnsi="仿宋" w:eastAsia="仿宋" w:cs="仿宋"/>
          <w:color w:val="auto"/>
          <w:sz w:val="24"/>
          <w:szCs w:val="24"/>
          <w:highlight w:val="none"/>
        </w:rPr>
      </w:pPr>
      <w:bookmarkStart w:id="25" w:name="_Hlk211189381"/>
      <w:bookmarkStart w:id="26" w:name="_Hlk211236617"/>
      <w:r>
        <w:rPr>
          <w:rFonts w:hint="eastAsia" w:ascii="仿宋" w:hAnsi="仿宋" w:eastAsia="仿宋" w:cs="仿宋"/>
          <w:color w:val="auto"/>
          <w:sz w:val="24"/>
          <w:szCs w:val="24"/>
          <w:highlight w:val="none"/>
        </w:rPr>
        <w:t xml:space="preserve">我公司自愿参加贵单位（公司）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项目的</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与其他潜在供应商不存在单位负责人为同一人或者存在直接控股、管理关系的情形，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w:t>
      </w:r>
      <w:r>
        <w:rPr>
          <w:rFonts w:hint="eastAsia" w:ascii="仿宋" w:hAnsi="仿宋" w:eastAsia="仿宋" w:cs="仿宋"/>
          <w:color w:val="auto"/>
          <w:sz w:val="24"/>
          <w:szCs w:val="24"/>
          <w:highlight w:val="none"/>
          <w:lang w:eastAsia="zh-CN"/>
        </w:rPr>
        <w:t>作出</w:t>
      </w:r>
      <w:r>
        <w:rPr>
          <w:rFonts w:hint="eastAsia" w:ascii="仿宋" w:hAnsi="仿宋" w:eastAsia="仿宋" w:cs="仿宋"/>
          <w:color w:val="auto"/>
          <w:sz w:val="24"/>
          <w:szCs w:val="24"/>
          <w:highlight w:val="none"/>
        </w:rPr>
        <w:t>的任何处理。</w:t>
      </w:r>
    </w:p>
    <w:bookmarkEnd w:id="25"/>
    <w:p>
      <w:pPr>
        <w:spacing w:before="240" w:line="360" w:lineRule="auto"/>
        <w:ind w:firstLine="480"/>
        <w:rPr>
          <w:rFonts w:hint="eastAsia" w:ascii="仿宋" w:hAnsi="仿宋" w:eastAsia="仿宋" w:cs="仿宋"/>
          <w:color w:val="auto"/>
          <w:sz w:val="24"/>
          <w:szCs w:val="24"/>
          <w:highlight w:val="none"/>
        </w:rPr>
      </w:pPr>
    </w:p>
    <w:p>
      <w:pPr>
        <w:spacing w:line="520" w:lineRule="exact"/>
        <w:ind w:firstLine="48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投标供应商：（公章）</w:t>
      </w:r>
    </w:p>
    <w:p>
      <w:pPr>
        <w:spacing w:line="520" w:lineRule="exact"/>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法定代表人签名或盖章：</w:t>
      </w:r>
    </w:p>
    <w:p>
      <w:pPr>
        <w:spacing w:line="520" w:lineRule="exact"/>
        <w:ind w:firstLine="9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bookmarkEnd w:id="26"/>
    <w:p>
      <w:pPr>
        <w:pStyle w:val="215"/>
        <w:rPr>
          <w:rFonts w:hint="eastAsia" w:ascii="仿宋" w:hAnsi="仿宋" w:eastAsia="仿宋" w:cs="仿宋"/>
          <w:color w:val="auto"/>
          <w:highlight w:val="none"/>
        </w:rPr>
      </w:pPr>
    </w:p>
    <w:p>
      <w:pPr>
        <w:widowControl/>
        <w:spacing w:before="4" w:line="360" w:lineRule="auto"/>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b/>
          <w:color w:val="auto"/>
          <w:sz w:val="24"/>
          <w:szCs w:val="24"/>
          <w:highlight w:val="none"/>
        </w:rPr>
        <w:t xml:space="preserve">承诺书二  </w:t>
      </w:r>
      <w:r>
        <w:rPr>
          <w:rFonts w:hint="eastAsia" w:ascii="仿宋" w:hAnsi="仿宋" w:eastAsia="仿宋" w:cs="仿宋"/>
          <w:b/>
          <w:bCs/>
          <w:color w:val="auto"/>
          <w:sz w:val="24"/>
          <w:szCs w:val="24"/>
          <w:highlight w:val="none"/>
        </w:rPr>
        <w:t>廉洁承诺书（格式）</w:t>
      </w:r>
    </w:p>
    <w:p>
      <w:pPr>
        <w:spacing w:line="360" w:lineRule="exact"/>
        <w:ind w:firstLine="480"/>
        <w:rPr>
          <w:rFonts w:hint="eastAsia" w:ascii="仿宋" w:hAnsi="仿宋" w:eastAsia="仿宋" w:cs="仿宋"/>
          <w:color w:val="auto"/>
          <w:sz w:val="24"/>
          <w:szCs w:val="24"/>
          <w:highlight w:val="none"/>
        </w:rPr>
      </w:pP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1.自觉遵守国家法律法规及有关廉政建设制度。</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2.主动了解贵单位招投标纪律，积极配合贵单位执行招投标廉政建设的有关规定。</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3.不使用不正当手段妨碍、排挤其他投标单位或串通投标。</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4.按照招标文件规定的方式进行投标，不隐瞒本单位投标资质的真实情况，投标资质符合规定。</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6.不向涉及招标的单位及个人购置或提供通信工具、交通工具和高档办公用品等。</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7.不向涉及招标的单位及个人的配偶、子女、亲属分包此次招标项目。</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8.不向涉及招标的单位及个人支付好处费、介绍费。</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9.一旦发现相关人员在招标过程中有索要财物等不廉洁行为，坚决予以抵制，并及时向贵单位纪检监察室举报。</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我们若违反上述承诺，自愿接受取消投标资格及其他任何形式的处理。</w:t>
      </w:r>
    </w:p>
    <w:p>
      <w:pPr>
        <w:spacing w:line="520" w:lineRule="exact"/>
        <w:ind w:firstLine="480"/>
        <w:jc w:val="right"/>
        <w:rPr>
          <w:rFonts w:hint="eastAsia" w:ascii="仿宋" w:hAnsi="仿宋" w:eastAsia="仿宋" w:cs="仿宋"/>
          <w:color w:val="auto"/>
          <w:sz w:val="24"/>
          <w:szCs w:val="24"/>
          <w:highlight w:val="none"/>
        </w:rPr>
      </w:pPr>
    </w:p>
    <w:p>
      <w:pPr>
        <w:spacing w:after="120"/>
        <w:rPr>
          <w:rFonts w:hint="eastAsia" w:ascii="仿宋" w:hAnsi="仿宋" w:eastAsia="仿宋" w:cs="仿宋"/>
          <w:color w:val="auto"/>
          <w:highlight w:val="none"/>
        </w:rPr>
      </w:pPr>
    </w:p>
    <w:p>
      <w:pPr>
        <w:spacing w:line="520" w:lineRule="exact"/>
        <w:ind w:firstLine="48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投标供应商：（公章）</w:t>
      </w:r>
    </w:p>
    <w:p>
      <w:pPr>
        <w:spacing w:line="520" w:lineRule="exact"/>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法定代表人签名或盖章：</w:t>
      </w:r>
    </w:p>
    <w:p>
      <w:pPr>
        <w:spacing w:line="520" w:lineRule="exact"/>
        <w:ind w:firstLine="9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pPr>
        <w:widowControl/>
        <w:spacing w:before="4" w:line="360" w:lineRule="auto"/>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b/>
          <w:color w:val="auto"/>
          <w:sz w:val="24"/>
          <w:szCs w:val="24"/>
          <w:highlight w:val="none"/>
        </w:rPr>
        <w:t>承诺书</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 xml:space="preserve">  </w:t>
      </w:r>
      <w:r>
        <w:rPr>
          <w:rFonts w:hint="eastAsia" w:ascii="仿宋" w:hAnsi="仿宋" w:eastAsia="仿宋" w:cs="仿宋"/>
          <w:b/>
          <w:bCs/>
          <w:color w:val="auto"/>
          <w:sz w:val="24"/>
          <w:szCs w:val="24"/>
          <w:highlight w:val="none"/>
          <w:lang w:val="en-US" w:eastAsia="zh-CN"/>
        </w:rPr>
        <w:t>人员配备承诺书</w:t>
      </w:r>
      <w:r>
        <w:rPr>
          <w:rFonts w:hint="eastAsia" w:ascii="仿宋" w:hAnsi="仿宋" w:eastAsia="仿宋" w:cs="仿宋"/>
          <w:b/>
          <w:bCs/>
          <w:color w:val="auto"/>
          <w:sz w:val="24"/>
          <w:szCs w:val="24"/>
          <w:highlight w:val="none"/>
        </w:rPr>
        <w:t>（格式）</w:t>
      </w:r>
    </w:p>
    <w:p>
      <w:pPr>
        <w:spacing w:line="360" w:lineRule="exact"/>
        <w:ind w:firstLine="480"/>
        <w:rPr>
          <w:rFonts w:hint="eastAsia" w:ascii="仿宋" w:hAnsi="仿宋" w:eastAsia="仿宋" w:cs="仿宋"/>
          <w:color w:val="auto"/>
          <w:sz w:val="24"/>
          <w:szCs w:val="24"/>
          <w:highlight w:val="none"/>
        </w:rPr>
      </w:pPr>
    </w:p>
    <w:p>
      <w:pPr>
        <w:widowControl w:val="0"/>
        <w:spacing w:line="520" w:lineRule="exact"/>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    （采购人名称）           </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我公司（</w:t>
      </w:r>
      <w:r>
        <w:rPr>
          <w:rFonts w:hint="eastAsia" w:ascii="仿宋" w:hAnsi="仿宋" w:eastAsia="仿宋" w:cs="仿宋"/>
          <w:color w:val="auto"/>
          <w:sz w:val="24"/>
          <w:szCs w:val="24"/>
          <w:highlight w:val="none"/>
          <w:u w:val="single"/>
        </w:rPr>
        <w:t xml:space="preserve"> 投标供应商名称</w:t>
      </w:r>
      <w:r>
        <w:rPr>
          <w:rFonts w:hint="eastAsia" w:ascii="仿宋" w:hAnsi="仿宋" w:eastAsia="仿宋" w:cs="仿宋"/>
          <w:bCs w:val="0"/>
          <w:color w:val="auto"/>
          <w:sz w:val="24"/>
          <w:szCs w:val="24"/>
          <w:highlight w:val="none"/>
          <w:lang w:val="en-US" w:eastAsia="zh-CN" w:bidi="ar-SA"/>
        </w:rPr>
        <w:t>）承诺：</w:t>
      </w:r>
    </w:p>
    <w:p>
      <w:pPr>
        <w:widowControl w:val="0"/>
        <w:spacing w:line="520" w:lineRule="exact"/>
        <w:ind w:firstLine="480"/>
        <w:jc w:val="both"/>
        <w:rPr>
          <w:rFonts w:hint="default"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若我单位有幸中标，我方将在中标之日起15天内完成所有配备人员的到岗准备工作并向采购人报备。</w:t>
      </w:r>
    </w:p>
    <w:p>
      <w:pPr>
        <w:widowControl w:val="0"/>
        <w:spacing w:line="520" w:lineRule="exact"/>
        <w:ind w:firstLine="480"/>
        <w:jc w:val="both"/>
        <w:rPr>
          <w:rFonts w:hint="eastAsia" w:ascii="仿宋" w:hAnsi="仿宋" w:eastAsia="仿宋" w:cs="仿宋"/>
          <w:bCs w:val="0"/>
          <w:color w:val="auto"/>
          <w:sz w:val="24"/>
          <w:szCs w:val="24"/>
          <w:highlight w:val="none"/>
          <w:lang w:val="en-US" w:eastAsia="zh-CN" w:bidi="ar-SA"/>
        </w:rPr>
      </w:pPr>
      <w:r>
        <w:rPr>
          <w:rFonts w:hint="eastAsia" w:ascii="仿宋" w:hAnsi="仿宋" w:eastAsia="仿宋" w:cs="仿宋"/>
          <w:bCs w:val="0"/>
          <w:color w:val="auto"/>
          <w:sz w:val="24"/>
          <w:szCs w:val="24"/>
          <w:highlight w:val="none"/>
          <w:lang w:val="en-US" w:eastAsia="zh-CN" w:bidi="ar-SA"/>
        </w:rPr>
        <w:t>如未能及时配备，我公司将自愿放弃中标资格及采购合同的签订。</w:t>
      </w:r>
    </w:p>
    <w:p>
      <w:pPr>
        <w:spacing w:line="520" w:lineRule="exact"/>
        <w:ind w:firstLine="480"/>
        <w:jc w:val="right"/>
        <w:rPr>
          <w:rFonts w:hint="eastAsia" w:ascii="仿宋" w:hAnsi="仿宋" w:eastAsia="仿宋" w:cs="仿宋"/>
          <w:color w:val="auto"/>
          <w:sz w:val="24"/>
          <w:szCs w:val="24"/>
          <w:highlight w:val="none"/>
        </w:rPr>
      </w:pPr>
    </w:p>
    <w:p>
      <w:pPr>
        <w:spacing w:after="120"/>
        <w:rPr>
          <w:rFonts w:hint="eastAsia" w:ascii="仿宋" w:hAnsi="仿宋" w:eastAsia="仿宋" w:cs="仿宋"/>
          <w:color w:val="auto"/>
          <w:highlight w:val="none"/>
        </w:rPr>
      </w:pPr>
    </w:p>
    <w:p>
      <w:pPr>
        <w:spacing w:line="520" w:lineRule="exact"/>
        <w:ind w:firstLine="48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投标供应商：（公章）</w:t>
      </w:r>
    </w:p>
    <w:p>
      <w:pPr>
        <w:spacing w:line="520" w:lineRule="exact"/>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法定代表人签名或盖章：</w:t>
      </w:r>
    </w:p>
    <w:p>
      <w:pPr>
        <w:spacing w:line="520" w:lineRule="exact"/>
        <w:ind w:firstLine="9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pPr>
        <w:spacing w:line="520" w:lineRule="exact"/>
        <w:ind w:firstLine="960"/>
        <w:jc w:val="right"/>
        <w:rPr>
          <w:rFonts w:hint="eastAsia" w:ascii="仿宋" w:hAnsi="仿宋" w:eastAsia="仿宋" w:cs="仿宋"/>
          <w:color w:val="auto"/>
          <w:sz w:val="24"/>
          <w:szCs w:val="24"/>
          <w:highlight w:val="none"/>
        </w:rPr>
      </w:pPr>
    </w:p>
    <w:p>
      <w:pPr>
        <w:spacing w:line="520" w:lineRule="exact"/>
        <w:ind w:firstLine="960"/>
        <w:jc w:val="right"/>
        <w:rPr>
          <w:rFonts w:hint="eastAsia" w:ascii="仿宋" w:hAnsi="仿宋" w:eastAsia="仿宋" w:cs="仿宋"/>
          <w:color w:val="auto"/>
          <w:sz w:val="24"/>
          <w:szCs w:val="24"/>
          <w:highlight w:val="none"/>
        </w:rPr>
      </w:pPr>
    </w:p>
    <w:p>
      <w:pPr>
        <w:spacing w:before="240" w:line="360" w:lineRule="auto"/>
        <w:rPr>
          <w:rFonts w:hint="eastAsia" w:ascii="仿宋" w:hAnsi="仿宋" w:eastAsia="仿宋" w:cs="仿宋"/>
          <w:b/>
          <w:bCs/>
          <w:color w:val="auto"/>
          <w:sz w:val="24"/>
          <w:szCs w:val="24"/>
          <w:highlight w:val="none"/>
        </w:rPr>
      </w:pPr>
    </w:p>
    <w:p>
      <w:pPr>
        <w:keepNext/>
        <w:keepLines/>
        <w:tabs>
          <w:tab w:val="left" w:pos="0"/>
        </w:tabs>
        <w:spacing w:before="260" w:after="260" w:line="415" w:lineRule="auto"/>
        <w:jc w:val="left"/>
        <w:outlineLvl w:val="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（四）投标供应商情况说明表（格式）：</w:t>
      </w:r>
    </w:p>
    <w:p>
      <w:pPr>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投标供应商情况说明表</w:t>
      </w:r>
    </w:p>
    <w:tbl>
      <w:tblPr>
        <w:tblStyle w:val="30"/>
        <w:tblW w:w="943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58"/>
        <w:gridCol w:w="1925"/>
        <w:gridCol w:w="1537"/>
        <w:gridCol w:w="32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法定代表人</w:t>
            </w:r>
          </w:p>
        </w:tc>
        <w:tc>
          <w:tcPr>
            <w:tcW w:w="1925" w:type="dxa"/>
            <w:noWrap w:val="0"/>
            <w:vAlign w:val="center"/>
          </w:tcPr>
          <w:p>
            <w:pPr>
              <w:spacing w:line="276" w:lineRule="auto"/>
              <w:jc w:val="both"/>
              <w:rPr>
                <w:rFonts w:hint="eastAsia" w:ascii="仿宋" w:hAnsi="仿宋" w:eastAsia="仿宋" w:cs="仿宋"/>
                <w:color w:val="auto"/>
                <w:sz w:val="22"/>
                <w:szCs w:val="21"/>
                <w:highlight w:val="none"/>
              </w:rPr>
            </w:pPr>
          </w:p>
        </w:tc>
        <w:tc>
          <w:tcPr>
            <w:tcW w:w="1537"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成立日期</w:t>
            </w:r>
          </w:p>
        </w:tc>
        <w:tc>
          <w:tcPr>
            <w:tcW w:w="3216" w:type="dxa"/>
            <w:noWrap w:val="0"/>
            <w:vAlign w:val="center"/>
          </w:tcPr>
          <w:p>
            <w:pPr>
              <w:spacing w:line="276" w:lineRule="auto"/>
              <w:jc w:val="both"/>
              <w:rPr>
                <w:rFonts w:hint="eastAsia" w:ascii="仿宋" w:hAnsi="仿宋" w:eastAsia="仿宋" w:cs="仿宋"/>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企业地址</w:t>
            </w:r>
          </w:p>
        </w:tc>
        <w:tc>
          <w:tcPr>
            <w:tcW w:w="1925" w:type="dxa"/>
            <w:noWrap w:val="0"/>
            <w:vAlign w:val="center"/>
          </w:tcPr>
          <w:p>
            <w:pPr>
              <w:spacing w:line="276" w:lineRule="auto"/>
              <w:jc w:val="both"/>
              <w:rPr>
                <w:rFonts w:hint="eastAsia" w:ascii="仿宋" w:hAnsi="仿宋" w:eastAsia="仿宋" w:cs="仿宋"/>
                <w:color w:val="auto"/>
                <w:sz w:val="22"/>
                <w:szCs w:val="21"/>
                <w:highlight w:val="none"/>
              </w:rPr>
            </w:pPr>
          </w:p>
        </w:tc>
        <w:tc>
          <w:tcPr>
            <w:tcW w:w="1537"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注册资本</w:t>
            </w:r>
          </w:p>
        </w:tc>
        <w:tc>
          <w:tcPr>
            <w:tcW w:w="3216" w:type="dxa"/>
            <w:noWrap w:val="0"/>
            <w:vAlign w:val="center"/>
          </w:tcPr>
          <w:p>
            <w:pPr>
              <w:spacing w:line="276" w:lineRule="auto"/>
              <w:ind w:firstLine="2160"/>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经营范围</w:t>
            </w:r>
          </w:p>
        </w:tc>
        <w:tc>
          <w:tcPr>
            <w:tcW w:w="6678" w:type="dxa"/>
            <w:gridSpan w:val="3"/>
            <w:noWrap w:val="0"/>
            <w:vAlign w:val="center"/>
          </w:tcPr>
          <w:p>
            <w:pPr>
              <w:spacing w:line="276" w:lineRule="auto"/>
              <w:jc w:val="both"/>
              <w:rPr>
                <w:rFonts w:hint="eastAsia" w:ascii="仿宋" w:hAnsi="仿宋" w:eastAsia="仿宋" w:cs="仿宋"/>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开户行</w:t>
            </w:r>
          </w:p>
        </w:tc>
        <w:tc>
          <w:tcPr>
            <w:tcW w:w="1925" w:type="dxa"/>
            <w:noWrap w:val="0"/>
            <w:vAlign w:val="center"/>
          </w:tcPr>
          <w:p>
            <w:pPr>
              <w:spacing w:line="276" w:lineRule="auto"/>
              <w:jc w:val="both"/>
              <w:rPr>
                <w:rFonts w:hint="eastAsia" w:ascii="仿宋" w:hAnsi="仿宋" w:eastAsia="仿宋" w:cs="仿宋"/>
                <w:color w:val="auto"/>
                <w:sz w:val="22"/>
                <w:szCs w:val="21"/>
                <w:highlight w:val="none"/>
              </w:rPr>
            </w:pPr>
          </w:p>
        </w:tc>
        <w:tc>
          <w:tcPr>
            <w:tcW w:w="1537"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银行账号</w:t>
            </w:r>
          </w:p>
        </w:tc>
        <w:tc>
          <w:tcPr>
            <w:tcW w:w="3216" w:type="dxa"/>
            <w:noWrap w:val="0"/>
            <w:vAlign w:val="center"/>
          </w:tcPr>
          <w:p>
            <w:pPr>
              <w:spacing w:line="276" w:lineRule="auto"/>
              <w:jc w:val="both"/>
              <w:rPr>
                <w:rFonts w:hint="eastAsia" w:ascii="仿宋" w:hAnsi="仿宋" w:eastAsia="仿宋" w:cs="仿宋"/>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资产总计</w:t>
            </w:r>
          </w:p>
        </w:tc>
        <w:tc>
          <w:tcPr>
            <w:tcW w:w="1925"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 xml:space="preserve">      万元</w:t>
            </w:r>
          </w:p>
        </w:tc>
        <w:tc>
          <w:tcPr>
            <w:tcW w:w="1537"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净资产</w:t>
            </w:r>
          </w:p>
        </w:tc>
        <w:tc>
          <w:tcPr>
            <w:tcW w:w="3216"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股东权益</w:t>
            </w:r>
          </w:p>
        </w:tc>
        <w:tc>
          <w:tcPr>
            <w:tcW w:w="1925"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 xml:space="preserve">     万元</w:t>
            </w:r>
          </w:p>
        </w:tc>
        <w:tc>
          <w:tcPr>
            <w:tcW w:w="1537"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主营收入</w:t>
            </w:r>
          </w:p>
        </w:tc>
        <w:tc>
          <w:tcPr>
            <w:tcW w:w="3216"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202</w:t>
            </w:r>
            <w:r>
              <w:rPr>
                <w:rFonts w:hint="eastAsia" w:ascii="仿宋" w:hAnsi="仿宋" w:eastAsia="仿宋" w:cs="仿宋"/>
                <w:color w:val="auto"/>
                <w:sz w:val="22"/>
                <w:szCs w:val="21"/>
                <w:highlight w:val="none"/>
                <w:lang w:val="en-US" w:eastAsia="zh-CN"/>
              </w:rPr>
              <w:t>5</w:t>
            </w:r>
            <w:r>
              <w:rPr>
                <w:rFonts w:hint="eastAsia" w:ascii="仿宋" w:hAnsi="仿宋" w:eastAsia="仿宋" w:cs="仿宋"/>
                <w:color w:val="auto"/>
                <w:sz w:val="22"/>
                <w:szCs w:val="21"/>
                <w:highlight w:val="none"/>
              </w:rPr>
              <w:t>年     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实现利润</w:t>
            </w:r>
          </w:p>
        </w:tc>
        <w:tc>
          <w:tcPr>
            <w:tcW w:w="1925"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202</w:t>
            </w:r>
            <w:r>
              <w:rPr>
                <w:rFonts w:hint="eastAsia" w:ascii="仿宋" w:hAnsi="仿宋" w:eastAsia="仿宋" w:cs="仿宋"/>
                <w:color w:val="auto"/>
                <w:sz w:val="22"/>
                <w:szCs w:val="21"/>
                <w:highlight w:val="none"/>
                <w:lang w:val="en-US" w:eastAsia="zh-CN"/>
              </w:rPr>
              <w:t>5</w:t>
            </w:r>
            <w:r>
              <w:rPr>
                <w:rFonts w:hint="eastAsia" w:ascii="仿宋" w:hAnsi="仿宋" w:eastAsia="仿宋" w:cs="仿宋"/>
                <w:color w:val="auto"/>
                <w:sz w:val="22"/>
                <w:szCs w:val="21"/>
                <w:highlight w:val="none"/>
              </w:rPr>
              <w:t>年 万元</w:t>
            </w:r>
          </w:p>
        </w:tc>
        <w:tc>
          <w:tcPr>
            <w:tcW w:w="1537" w:type="dxa"/>
            <w:noWrap w:val="0"/>
            <w:vAlign w:val="center"/>
          </w:tcPr>
          <w:p>
            <w:pPr>
              <w:spacing w:line="276" w:lineRule="auto"/>
              <w:jc w:val="both"/>
              <w:rPr>
                <w:rFonts w:hint="eastAsia" w:ascii="仿宋" w:hAnsi="仿宋" w:eastAsia="仿宋" w:cs="仿宋"/>
                <w:color w:val="auto"/>
                <w:sz w:val="22"/>
                <w:szCs w:val="21"/>
                <w:highlight w:val="none"/>
              </w:rPr>
            </w:pPr>
          </w:p>
        </w:tc>
        <w:tc>
          <w:tcPr>
            <w:tcW w:w="3216" w:type="dxa"/>
            <w:noWrap w:val="0"/>
            <w:vAlign w:val="center"/>
          </w:tcPr>
          <w:p>
            <w:pPr>
              <w:spacing w:line="276" w:lineRule="auto"/>
              <w:jc w:val="both"/>
              <w:rPr>
                <w:rFonts w:hint="eastAsia" w:ascii="仿宋" w:hAnsi="仿宋" w:eastAsia="仿宋" w:cs="仿宋"/>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营业面积</w:t>
            </w:r>
          </w:p>
        </w:tc>
        <w:tc>
          <w:tcPr>
            <w:tcW w:w="1925"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 xml:space="preserve">         平方米</w:t>
            </w:r>
          </w:p>
        </w:tc>
        <w:tc>
          <w:tcPr>
            <w:tcW w:w="1537"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其中：</w:t>
            </w:r>
          </w:p>
        </w:tc>
        <w:tc>
          <w:tcPr>
            <w:tcW w:w="3216"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自有面积平方米</w:t>
            </w:r>
          </w:p>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承租面积平方米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单位简历及内设机构情况</w:t>
            </w:r>
          </w:p>
        </w:tc>
        <w:tc>
          <w:tcPr>
            <w:tcW w:w="6678" w:type="dxa"/>
            <w:gridSpan w:val="3"/>
            <w:noWrap w:val="0"/>
            <w:vAlign w:val="center"/>
          </w:tcPr>
          <w:p>
            <w:pPr>
              <w:spacing w:line="276" w:lineRule="auto"/>
              <w:jc w:val="both"/>
              <w:rPr>
                <w:rFonts w:hint="eastAsia" w:ascii="仿宋" w:hAnsi="仿宋" w:eastAsia="仿宋" w:cs="仿宋"/>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61" w:hRule="exac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单位优势及特长</w:t>
            </w:r>
          </w:p>
        </w:tc>
        <w:tc>
          <w:tcPr>
            <w:tcW w:w="6678" w:type="dxa"/>
            <w:gridSpan w:val="3"/>
            <w:noWrap w:val="0"/>
            <w:vAlign w:val="center"/>
          </w:tcPr>
          <w:p>
            <w:pPr>
              <w:spacing w:line="276" w:lineRule="auto"/>
              <w:jc w:val="both"/>
              <w:rPr>
                <w:rFonts w:hint="eastAsia" w:ascii="仿宋" w:hAnsi="仿宋" w:eastAsia="仿宋" w:cs="仿宋"/>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近三年来完成或正在履行的重大合同情况</w:t>
            </w:r>
          </w:p>
        </w:tc>
        <w:tc>
          <w:tcPr>
            <w:tcW w:w="6678" w:type="dxa"/>
            <w:gridSpan w:val="3"/>
            <w:noWrap w:val="0"/>
            <w:vAlign w:val="center"/>
          </w:tcPr>
          <w:p>
            <w:pPr>
              <w:spacing w:line="276" w:lineRule="auto"/>
              <w:jc w:val="both"/>
              <w:rPr>
                <w:rFonts w:hint="eastAsia" w:ascii="仿宋" w:hAnsi="仿宋" w:eastAsia="仿宋" w:cs="仿宋"/>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最近2年内在经营过程中受到何种奖励或处分</w:t>
            </w:r>
          </w:p>
        </w:tc>
        <w:tc>
          <w:tcPr>
            <w:tcW w:w="6678" w:type="dxa"/>
            <w:gridSpan w:val="3"/>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（包括财政、工商、税务、物价、技监部门稽查情况和结果）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最近3年内有无因售假、售劣或是其他原因被消费者投诉或起诉的情况及说明</w:t>
            </w:r>
          </w:p>
        </w:tc>
        <w:tc>
          <w:tcPr>
            <w:tcW w:w="6678" w:type="dxa"/>
            <w:gridSpan w:val="3"/>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（包括解决方式和结果）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参加政府采购活动前三年内，在经营活动中有无重大违法记录情况及说明</w:t>
            </w:r>
          </w:p>
        </w:tc>
        <w:tc>
          <w:tcPr>
            <w:tcW w:w="6678" w:type="dxa"/>
            <w:gridSpan w:val="3"/>
            <w:noWrap w:val="0"/>
            <w:vAlign w:val="center"/>
          </w:tcPr>
          <w:p>
            <w:pPr>
              <w:spacing w:line="276" w:lineRule="auto"/>
              <w:jc w:val="both"/>
              <w:rPr>
                <w:rFonts w:hint="eastAsia" w:ascii="仿宋" w:hAnsi="仿宋" w:eastAsia="仿宋" w:cs="仿宋"/>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获得技术认证的工程师及简介</w:t>
            </w:r>
          </w:p>
        </w:tc>
        <w:tc>
          <w:tcPr>
            <w:tcW w:w="6678" w:type="dxa"/>
            <w:gridSpan w:val="3"/>
            <w:noWrap w:val="0"/>
            <w:vAlign w:val="center"/>
          </w:tcPr>
          <w:p>
            <w:pPr>
              <w:spacing w:line="276" w:lineRule="auto"/>
              <w:jc w:val="both"/>
              <w:rPr>
                <w:rFonts w:hint="eastAsia" w:ascii="仿宋" w:hAnsi="仿宋" w:eastAsia="仿宋" w:cs="仿宋"/>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3" w:hRule="exact"/>
          <w:jc w:val="center"/>
        </w:trPr>
        <w:tc>
          <w:tcPr>
            <w:tcW w:w="2758" w:type="dxa"/>
            <w:noWrap w:val="0"/>
            <w:vAlign w:val="center"/>
          </w:tcPr>
          <w:p>
            <w:pPr>
              <w:spacing w:line="276" w:lineRule="auto"/>
              <w:jc w:val="both"/>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其他需要说明的情况</w:t>
            </w:r>
          </w:p>
        </w:tc>
        <w:tc>
          <w:tcPr>
            <w:tcW w:w="6678" w:type="dxa"/>
            <w:gridSpan w:val="3"/>
            <w:noWrap w:val="0"/>
            <w:vAlign w:val="center"/>
          </w:tcPr>
          <w:p>
            <w:pPr>
              <w:spacing w:line="276" w:lineRule="auto"/>
              <w:jc w:val="both"/>
              <w:rPr>
                <w:rFonts w:hint="eastAsia" w:ascii="仿宋" w:hAnsi="仿宋" w:eastAsia="仿宋" w:cs="仿宋"/>
                <w:color w:val="auto"/>
                <w:sz w:val="22"/>
                <w:szCs w:val="21"/>
                <w:highlight w:val="none"/>
              </w:rPr>
            </w:pPr>
          </w:p>
        </w:tc>
      </w:tr>
    </w:tbl>
    <w:p>
      <w:pPr>
        <w:jc w:val="left"/>
        <w:rPr>
          <w:rFonts w:hint="eastAsia" w:ascii="仿宋" w:hAnsi="仿宋" w:eastAsia="仿宋" w:cs="仿宋"/>
          <w:color w:val="auto"/>
          <w:szCs w:val="22"/>
          <w:highlight w:val="none"/>
        </w:rPr>
      </w:pPr>
    </w:p>
    <w:p>
      <w:pPr>
        <w:spacing w:line="5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投标供应商：（公章）</w:t>
      </w:r>
    </w:p>
    <w:p>
      <w:pPr>
        <w:spacing w:line="5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法定代表人签名或盖章：</w:t>
      </w:r>
    </w:p>
    <w:p>
      <w:pPr>
        <w:spacing w:line="520" w:lineRule="exact"/>
        <w:ind w:firstLine="96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pPr>
        <w:pStyle w:val="580"/>
        <w:tabs>
          <w:tab w:val="left" w:pos="312"/>
        </w:tabs>
        <w:spacing w:line="360" w:lineRule="auto"/>
        <w:ind w:firstLine="241"/>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（五）中小企业声明函（格式）：</w:t>
      </w:r>
    </w:p>
    <w:p>
      <w:pPr>
        <w:ind w:firstLine="244"/>
        <w:jc w:val="center"/>
        <w:rPr>
          <w:rFonts w:hint="eastAsia" w:ascii="仿宋" w:hAnsi="仿宋" w:eastAsia="仿宋" w:cs="仿宋"/>
          <w:color w:val="auto"/>
          <w:szCs w:val="24"/>
          <w:highlight w:val="none"/>
        </w:rPr>
      </w:pPr>
      <w:r>
        <w:rPr>
          <w:rFonts w:hint="eastAsia" w:ascii="仿宋" w:hAnsi="仿宋" w:eastAsia="仿宋" w:cs="仿宋"/>
          <w:b/>
          <w:color w:val="auto"/>
          <w:sz w:val="30"/>
          <w:szCs w:val="30"/>
          <w:highlight w:val="none"/>
        </w:rPr>
        <w:t>中小企业声明函（服务）</w:t>
      </w:r>
    </w:p>
    <w:p>
      <w:pPr>
        <w:spacing w:line="580" w:lineRule="exact"/>
        <w:ind w:firstLine="43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s="仿宋"/>
          <w:bCs/>
          <w:color w:val="auto"/>
          <w:sz w:val="24"/>
          <w:szCs w:val="24"/>
          <w:highlight w:val="none"/>
          <w:u w:val="single"/>
        </w:rPr>
        <w:t xml:space="preserve">    （单位名称） </w:t>
      </w:r>
      <w:r>
        <w:rPr>
          <w:rFonts w:hint="eastAsia" w:ascii="仿宋" w:hAnsi="仿宋" w:eastAsia="仿宋" w:cs="仿宋"/>
          <w:bCs/>
          <w:color w:val="auto"/>
          <w:sz w:val="24"/>
          <w:szCs w:val="24"/>
          <w:highlight w:val="none"/>
        </w:rPr>
        <w:t>的</w:t>
      </w:r>
      <w:r>
        <w:rPr>
          <w:rFonts w:hint="eastAsia" w:ascii="仿宋" w:hAnsi="仿宋" w:eastAsia="仿宋" w:cs="仿宋"/>
          <w:bCs/>
          <w:color w:val="auto"/>
          <w:sz w:val="24"/>
          <w:szCs w:val="24"/>
          <w:highlight w:val="none"/>
          <w:u w:val="single"/>
        </w:rPr>
        <w:t xml:space="preserve">  （项目名称）</w:t>
      </w:r>
      <w:r>
        <w:rPr>
          <w:rFonts w:hint="eastAsia" w:ascii="仿宋" w:hAnsi="仿宋" w:eastAsia="仿宋" w:cs="仿宋"/>
          <w:bCs/>
          <w:color w:val="auto"/>
          <w:sz w:val="24"/>
          <w:szCs w:val="24"/>
          <w:highlight w:val="none"/>
        </w:rPr>
        <w:t>采购活动，</w:t>
      </w:r>
      <w:r>
        <w:rPr>
          <w:rFonts w:hint="eastAsia" w:ascii="仿宋" w:hAnsi="仿宋" w:eastAsia="仿宋" w:cs="仿宋"/>
          <w:b/>
          <w:color w:val="auto"/>
          <w:sz w:val="24"/>
          <w:szCs w:val="24"/>
          <w:highlight w:val="none"/>
        </w:rPr>
        <w:t>服务全部为符合政策要求的中小企业承接</w:t>
      </w:r>
      <w:r>
        <w:rPr>
          <w:rFonts w:hint="eastAsia" w:ascii="仿宋" w:hAnsi="仿宋" w:eastAsia="仿宋" w:cs="仿宋"/>
          <w:bCs/>
          <w:color w:val="auto"/>
          <w:sz w:val="24"/>
          <w:szCs w:val="24"/>
          <w:highlight w:val="none"/>
        </w:rPr>
        <w:t>。相关企业（含联合体中的中小企业、签订分包意向协议的中小企业）的具体情况如下：</w:t>
      </w:r>
    </w:p>
    <w:p>
      <w:pPr>
        <w:numPr>
          <w:ilvl w:val="3"/>
          <w:numId w:val="0"/>
        </w:numPr>
        <w:spacing w:line="580" w:lineRule="exact"/>
        <w:ind w:left="0" w:firstLine="43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1.</w:t>
      </w:r>
      <w:r>
        <w:rPr>
          <w:rFonts w:hint="eastAsia" w:ascii="仿宋" w:hAnsi="仿宋" w:eastAsia="仿宋" w:cs="仿宋"/>
          <w:bCs/>
          <w:color w:val="auto"/>
          <w:sz w:val="24"/>
          <w:szCs w:val="24"/>
          <w:highlight w:val="none"/>
          <w:u w:val="single"/>
        </w:rPr>
        <w:t>（标的名称）</w:t>
      </w:r>
      <w:r>
        <w:rPr>
          <w:rFonts w:hint="eastAsia" w:ascii="仿宋" w:hAnsi="仿宋" w:eastAsia="仿宋" w:cs="仿宋"/>
          <w:bCs/>
          <w:color w:val="auto"/>
          <w:sz w:val="24"/>
          <w:szCs w:val="24"/>
          <w:highlight w:val="none"/>
        </w:rPr>
        <w:t>，属于</w:t>
      </w:r>
      <w:r>
        <w:rPr>
          <w:rFonts w:hint="eastAsia" w:ascii="仿宋" w:hAnsi="仿宋" w:eastAsia="仿宋" w:cs="仿宋"/>
          <w:bCs/>
          <w:color w:val="auto"/>
          <w:sz w:val="24"/>
          <w:szCs w:val="24"/>
          <w:highlight w:val="none"/>
          <w:u w:val="single"/>
        </w:rPr>
        <w:t>（采购文件中明确的所属行业）行业</w:t>
      </w:r>
      <w:r>
        <w:rPr>
          <w:rFonts w:hint="eastAsia" w:ascii="仿宋" w:hAnsi="仿宋" w:eastAsia="仿宋" w:cs="仿宋"/>
          <w:bCs/>
          <w:color w:val="auto"/>
          <w:sz w:val="24"/>
          <w:szCs w:val="24"/>
          <w:highlight w:val="none"/>
        </w:rPr>
        <w:t>；承接企业为</w:t>
      </w:r>
      <w:r>
        <w:rPr>
          <w:rFonts w:hint="eastAsia" w:ascii="仿宋" w:hAnsi="仿宋" w:eastAsia="仿宋" w:cs="仿宋"/>
          <w:bCs/>
          <w:color w:val="auto"/>
          <w:sz w:val="24"/>
          <w:szCs w:val="24"/>
          <w:highlight w:val="none"/>
          <w:u w:val="single"/>
        </w:rPr>
        <w:t>（企业名称）</w:t>
      </w:r>
      <w:r>
        <w:rPr>
          <w:rFonts w:hint="eastAsia" w:ascii="仿宋" w:hAnsi="仿宋" w:eastAsia="仿宋" w:cs="仿宋"/>
          <w:bCs/>
          <w:color w:val="auto"/>
          <w:sz w:val="24"/>
          <w:szCs w:val="24"/>
          <w:highlight w:val="none"/>
        </w:rPr>
        <w:t>，从业人员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万元</w:t>
      </w:r>
      <w:r>
        <w:rPr>
          <w:rFonts w:hint="eastAsia" w:ascii="仿宋" w:hAnsi="仿宋" w:eastAsia="仿宋" w:cs="仿宋"/>
          <w:b/>
          <w:color w:val="auto"/>
          <w:sz w:val="24"/>
          <w:szCs w:val="24"/>
          <w:highlight w:val="none"/>
          <w:vertAlign w:val="superscript"/>
        </w:rPr>
        <w:t>1</w:t>
      </w:r>
      <w:r>
        <w:rPr>
          <w:rFonts w:hint="eastAsia" w:ascii="仿宋" w:hAnsi="仿宋" w:eastAsia="仿宋" w:cs="仿宋"/>
          <w:bCs/>
          <w:color w:val="auto"/>
          <w:sz w:val="24"/>
          <w:szCs w:val="24"/>
          <w:highlight w:val="none"/>
        </w:rPr>
        <w:t>，属于</w:t>
      </w:r>
      <w:r>
        <w:rPr>
          <w:rFonts w:hint="eastAsia" w:ascii="仿宋" w:hAnsi="仿宋" w:eastAsia="仿宋" w:cs="仿宋"/>
          <w:bCs/>
          <w:color w:val="auto"/>
          <w:sz w:val="24"/>
          <w:szCs w:val="24"/>
          <w:highlight w:val="none"/>
          <w:u w:val="single"/>
        </w:rPr>
        <w:t>（中型企业、小型企业、微型企业）</w:t>
      </w:r>
      <w:r>
        <w:rPr>
          <w:rFonts w:hint="eastAsia" w:ascii="仿宋" w:hAnsi="仿宋" w:eastAsia="仿宋" w:cs="仿宋"/>
          <w:bCs/>
          <w:color w:val="auto"/>
          <w:sz w:val="24"/>
          <w:szCs w:val="24"/>
          <w:highlight w:val="none"/>
        </w:rPr>
        <w:t>；</w:t>
      </w:r>
    </w:p>
    <w:p>
      <w:pPr>
        <w:numPr>
          <w:ilvl w:val="3"/>
          <w:numId w:val="0"/>
        </w:numPr>
        <w:spacing w:line="580" w:lineRule="exact"/>
        <w:ind w:left="0" w:firstLine="43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2.</w:t>
      </w:r>
      <w:r>
        <w:rPr>
          <w:rFonts w:hint="eastAsia" w:ascii="仿宋" w:hAnsi="仿宋" w:eastAsia="仿宋" w:cs="仿宋"/>
          <w:bCs/>
          <w:color w:val="auto"/>
          <w:sz w:val="24"/>
          <w:szCs w:val="24"/>
          <w:highlight w:val="none"/>
          <w:u w:val="single"/>
        </w:rPr>
        <w:t>（标的名称）</w:t>
      </w:r>
      <w:r>
        <w:rPr>
          <w:rFonts w:hint="eastAsia" w:ascii="仿宋" w:hAnsi="仿宋" w:eastAsia="仿宋" w:cs="仿宋"/>
          <w:bCs/>
          <w:color w:val="auto"/>
          <w:sz w:val="24"/>
          <w:szCs w:val="24"/>
          <w:highlight w:val="none"/>
        </w:rPr>
        <w:t>，属于</w:t>
      </w:r>
      <w:r>
        <w:rPr>
          <w:rFonts w:hint="eastAsia" w:ascii="仿宋" w:hAnsi="仿宋" w:eastAsia="仿宋" w:cs="仿宋"/>
          <w:bCs/>
          <w:color w:val="auto"/>
          <w:sz w:val="24"/>
          <w:szCs w:val="24"/>
          <w:highlight w:val="none"/>
          <w:u w:val="single"/>
        </w:rPr>
        <w:t>（采购文件中明确的所属行业）行业</w:t>
      </w:r>
      <w:r>
        <w:rPr>
          <w:rFonts w:hint="eastAsia" w:ascii="仿宋" w:hAnsi="仿宋" w:eastAsia="仿宋" w:cs="仿宋"/>
          <w:bCs/>
          <w:color w:val="auto"/>
          <w:sz w:val="24"/>
          <w:szCs w:val="24"/>
          <w:highlight w:val="none"/>
        </w:rPr>
        <w:t>；承接企业为</w:t>
      </w:r>
      <w:r>
        <w:rPr>
          <w:rFonts w:hint="eastAsia" w:ascii="仿宋" w:hAnsi="仿宋" w:eastAsia="仿宋" w:cs="仿宋"/>
          <w:bCs/>
          <w:color w:val="auto"/>
          <w:sz w:val="24"/>
          <w:szCs w:val="24"/>
          <w:highlight w:val="none"/>
          <w:u w:val="single"/>
        </w:rPr>
        <w:t>（企业名称）</w:t>
      </w:r>
      <w:r>
        <w:rPr>
          <w:rFonts w:hint="eastAsia" w:ascii="仿宋" w:hAnsi="仿宋" w:eastAsia="仿宋" w:cs="仿宋"/>
          <w:bCs/>
          <w:color w:val="auto"/>
          <w:sz w:val="24"/>
          <w:szCs w:val="24"/>
          <w:highlight w:val="none"/>
        </w:rPr>
        <w:t>，从业人员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万元，属于</w:t>
      </w:r>
      <w:r>
        <w:rPr>
          <w:rFonts w:hint="eastAsia" w:ascii="仿宋" w:hAnsi="仿宋" w:eastAsia="仿宋" w:cs="仿宋"/>
          <w:bCs/>
          <w:color w:val="auto"/>
          <w:sz w:val="24"/>
          <w:szCs w:val="24"/>
          <w:highlight w:val="none"/>
          <w:u w:val="single"/>
        </w:rPr>
        <w:t>（中型企业、小型企业、微型企业）</w:t>
      </w:r>
      <w:r>
        <w:rPr>
          <w:rFonts w:hint="eastAsia" w:ascii="仿宋" w:hAnsi="仿宋" w:eastAsia="仿宋" w:cs="仿宋"/>
          <w:bCs/>
          <w:color w:val="auto"/>
          <w:sz w:val="24"/>
          <w:szCs w:val="24"/>
          <w:highlight w:val="none"/>
        </w:rPr>
        <w:t>；</w:t>
      </w:r>
    </w:p>
    <w:p>
      <w:pPr>
        <w:spacing w:line="580" w:lineRule="exact"/>
        <w:ind w:firstLine="567"/>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p>
    <w:p>
      <w:pPr>
        <w:spacing w:line="580" w:lineRule="exact"/>
        <w:ind w:firstLine="567"/>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以上企业，不属于大企业的分支机构，不存在控股股东为大企业的情形，也不存在与大企业的负责人为同一人的情形。</w:t>
      </w:r>
    </w:p>
    <w:p>
      <w:pPr>
        <w:spacing w:line="580" w:lineRule="exact"/>
        <w:ind w:firstLine="567"/>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本企业对上述声明内容的真实性负责，如有虚假，将依法承担相应责任。</w:t>
      </w:r>
    </w:p>
    <w:p>
      <w:pPr>
        <w:spacing w:line="360" w:lineRule="auto"/>
        <w:ind w:firstLine="194"/>
        <w:rPr>
          <w:rFonts w:hint="eastAsia" w:ascii="仿宋" w:hAnsi="仿宋" w:eastAsia="仿宋" w:cs="仿宋"/>
          <w:bCs/>
          <w:color w:val="auto"/>
          <w:sz w:val="24"/>
          <w:szCs w:val="24"/>
          <w:highlight w:val="none"/>
        </w:rPr>
      </w:pPr>
    </w:p>
    <w:p>
      <w:pPr>
        <w:spacing w:line="360" w:lineRule="auto"/>
        <w:ind w:firstLine="194"/>
        <w:rPr>
          <w:rFonts w:hint="eastAsia" w:ascii="仿宋" w:hAnsi="仿宋" w:eastAsia="仿宋" w:cs="仿宋"/>
          <w:bCs/>
          <w:color w:val="auto"/>
          <w:sz w:val="24"/>
          <w:szCs w:val="24"/>
          <w:highlight w:val="none"/>
        </w:rPr>
      </w:pPr>
    </w:p>
    <w:p>
      <w:pPr>
        <w:spacing w:line="360" w:lineRule="auto"/>
        <w:ind w:right="960" w:firstLine="194"/>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企业名称（盖章）：</w:t>
      </w:r>
    </w:p>
    <w:p>
      <w:pPr>
        <w:spacing w:line="360" w:lineRule="auto"/>
        <w:ind w:firstLine="194"/>
        <w:jc w:val="right"/>
        <w:rPr>
          <w:rFonts w:hint="eastAsia" w:ascii="仿宋" w:hAnsi="仿宋" w:eastAsia="仿宋" w:cs="仿宋"/>
          <w:bCs/>
          <w:color w:val="auto"/>
          <w:sz w:val="24"/>
          <w:szCs w:val="24"/>
          <w:highlight w:val="none"/>
        </w:rPr>
      </w:pPr>
    </w:p>
    <w:p>
      <w:pPr>
        <w:spacing w:line="360" w:lineRule="auto"/>
        <w:ind w:right="960" w:firstLine="384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日期：</w:t>
      </w:r>
    </w:p>
    <w:p>
      <w:pPr>
        <w:ind w:firstLine="145"/>
        <w:rPr>
          <w:rFonts w:hint="eastAsia" w:ascii="仿宋" w:hAnsi="仿宋" w:eastAsia="仿宋" w:cs="仿宋"/>
          <w:bCs/>
          <w:color w:val="auto"/>
          <w:sz w:val="18"/>
          <w:szCs w:val="18"/>
          <w:highlight w:val="none"/>
        </w:rPr>
      </w:pPr>
      <w:r>
        <w:rPr>
          <w:rFonts w:hint="eastAsia" w:ascii="仿宋" w:hAnsi="仿宋" w:eastAsia="仿宋" w:cs="仿宋"/>
          <w:bCs/>
          <w:color w:val="auto"/>
          <w:sz w:val="18"/>
          <w:szCs w:val="18"/>
          <w:highlight w:val="none"/>
        </w:rPr>
        <w:t>1.从业人员、营业收入、资产总额填报上一年度数据，无上一年度数据的新成立企业可不填报。</w:t>
      </w:r>
    </w:p>
    <w:p>
      <w:pPr>
        <w:ind w:firstLine="145"/>
        <w:rPr>
          <w:rFonts w:hint="eastAsia" w:ascii="仿宋" w:hAnsi="仿宋" w:eastAsia="仿宋" w:cs="仿宋"/>
          <w:bCs/>
          <w:color w:val="auto"/>
          <w:sz w:val="18"/>
          <w:szCs w:val="18"/>
          <w:highlight w:val="none"/>
        </w:rPr>
      </w:pPr>
      <w:r>
        <w:rPr>
          <w:rFonts w:hint="eastAsia" w:ascii="仿宋" w:hAnsi="仿宋" w:eastAsia="仿宋" w:cs="仿宋"/>
          <w:bCs/>
          <w:color w:val="auto"/>
          <w:sz w:val="18"/>
          <w:szCs w:val="18"/>
          <w:highlight w:val="none"/>
        </w:rPr>
        <w:t>2.中标、中标供应商的《中小企业声明函》将随中标、成交公告进行公示。供应商按照本办法规定提供声明函内容不实的，属于提供虚假材料谋取中标、成交，依照《中华人民共和国政府采购法》等国家有关规定追究相应责任。</w:t>
      </w:r>
    </w:p>
    <w:p>
      <w:pPr>
        <w:rPr>
          <w:rFonts w:hint="eastAsia" w:ascii="仿宋" w:hAnsi="仿宋" w:eastAsia="仿宋" w:cs="仿宋"/>
          <w:bCs/>
          <w:color w:val="auto"/>
          <w:szCs w:val="24"/>
          <w:highlight w:val="none"/>
        </w:rPr>
      </w:pPr>
    </w:p>
    <w:p>
      <w:pPr>
        <w:spacing w:line="400" w:lineRule="exact"/>
        <w:ind w:left="723" w:hanging="723"/>
        <w:jc w:val="center"/>
        <w:rPr>
          <w:rFonts w:hint="eastAsia" w:ascii="仿宋" w:hAnsi="仿宋" w:eastAsia="仿宋" w:cs="仿宋"/>
          <w:b/>
          <w:bCs/>
          <w:color w:val="auto"/>
          <w:sz w:val="24"/>
          <w:szCs w:val="24"/>
          <w:highlight w:val="none"/>
        </w:rPr>
      </w:pPr>
    </w:p>
    <w:p>
      <w:pPr>
        <w:spacing w:line="400" w:lineRule="exact"/>
        <w:ind w:left="723" w:hanging="723"/>
        <w:jc w:val="center"/>
        <w:rPr>
          <w:rFonts w:hint="eastAsia" w:ascii="仿宋" w:hAnsi="仿宋" w:eastAsia="仿宋" w:cs="仿宋"/>
          <w:b/>
          <w:bCs/>
          <w:color w:val="auto"/>
          <w:sz w:val="24"/>
          <w:szCs w:val="24"/>
          <w:highlight w:val="none"/>
        </w:rPr>
      </w:pPr>
    </w:p>
    <w:p>
      <w:pPr>
        <w:pStyle w:val="580"/>
        <w:tabs>
          <w:tab w:val="left" w:pos="312"/>
        </w:tabs>
        <w:spacing w:line="360" w:lineRule="auto"/>
        <w:ind w:firstLine="241"/>
        <w:jc w:val="left"/>
        <w:rPr>
          <w:rFonts w:hint="eastAsia" w:ascii="仿宋" w:hAnsi="仿宋" w:eastAsia="仿宋" w:cs="仿宋"/>
          <w:color w:val="auto"/>
          <w:sz w:val="28"/>
          <w:szCs w:val="28"/>
          <w:highlight w:val="none"/>
        </w:rPr>
      </w:pPr>
      <w:r>
        <w:rPr>
          <w:rFonts w:hint="eastAsia" w:ascii="仿宋" w:hAnsi="仿宋" w:eastAsia="仿宋" w:cs="仿宋"/>
          <w:b/>
          <w:bCs/>
          <w:color w:val="auto"/>
          <w:sz w:val="24"/>
          <w:szCs w:val="24"/>
          <w:highlight w:val="none"/>
        </w:rPr>
        <w:br w:type="page" w:clear="all"/>
      </w:r>
      <w:r>
        <w:rPr>
          <w:rFonts w:hint="eastAsia" w:ascii="仿宋" w:hAnsi="仿宋" w:eastAsia="仿宋" w:cs="仿宋"/>
          <w:color w:val="auto"/>
          <w:sz w:val="28"/>
          <w:szCs w:val="28"/>
          <w:highlight w:val="none"/>
        </w:rPr>
        <w:t>（六）残疾人福利性单位声明函（格式）</w:t>
      </w:r>
    </w:p>
    <w:p>
      <w:pPr>
        <w:jc w:val="center"/>
        <w:rPr>
          <w:rFonts w:hint="eastAsia" w:ascii="仿宋" w:hAnsi="仿宋" w:eastAsia="仿宋" w:cs="仿宋"/>
          <w:color w:val="auto"/>
          <w:sz w:val="28"/>
          <w:szCs w:val="28"/>
          <w:highlight w:val="none"/>
        </w:rPr>
      </w:pPr>
    </w:p>
    <w:p>
      <w:pPr>
        <w:jc w:val="center"/>
        <w:rPr>
          <w:rFonts w:hint="eastAsia" w:ascii="仿宋" w:hAnsi="仿宋" w:eastAsia="仿宋" w:cs="仿宋"/>
          <w:color w:val="auto"/>
          <w:sz w:val="28"/>
          <w:szCs w:val="28"/>
          <w:highlight w:val="none"/>
        </w:rPr>
      </w:pPr>
    </w:p>
    <w:p>
      <w:pPr>
        <w:jc w:val="center"/>
        <w:rPr>
          <w:rFonts w:hint="eastAsia" w:ascii="仿宋" w:hAnsi="仿宋" w:eastAsia="仿宋" w:cs="仿宋"/>
          <w:b/>
          <w:color w:val="auto"/>
          <w:sz w:val="36"/>
          <w:szCs w:val="32"/>
          <w:highlight w:val="none"/>
        </w:rPr>
      </w:pPr>
      <w:r>
        <w:rPr>
          <w:rFonts w:hint="eastAsia" w:ascii="仿宋" w:hAnsi="仿宋" w:eastAsia="仿宋" w:cs="仿宋"/>
          <w:b/>
          <w:color w:val="auto"/>
          <w:sz w:val="28"/>
          <w:szCs w:val="30"/>
          <w:highlight w:val="none"/>
        </w:rPr>
        <w:t>残疾人福利性单位声明函</w:t>
      </w:r>
    </w:p>
    <w:p>
      <w:pPr>
        <w:widowControl/>
        <w:shd w:val="clear" w:color="auto" w:fill="FFFFFF"/>
        <w:spacing w:line="480" w:lineRule="atLeast"/>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w:t>
      </w:r>
      <w:bookmarkStart w:id="27" w:name="_Hlk201755688"/>
      <w:r>
        <w:rPr>
          <w:rFonts w:hint="eastAsia" w:ascii="仿宋" w:hAnsi="仿宋" w:eastAsia="仿宋" w:cs="仿宋"/>
          <w:color w:val="auto"/>
          <w:sz w:val="24"/>
          <w:szCs w:val="24"/>
          <w:highlight w:val="none"/>
        </w:rPr>
        <w:t>〔2017〕141号</w:t>
      </w:r>
      <w:bookmarkEnd w:id="27"/>
      <w:r>
        <w:rPr>
          <w:rFonts w:hint="eastAsia" w:ascii="仿宋" w:hAnsi="仿宋" w:eastAsia="仿宋" w:cs="仿宋"/>
          <w:color w:val="auto"/>
          <w:sz w:val="24"/>
          <w:szCs w:val="24"/>
          <w:highlight w:val="none"/>
        </w:rPr>
        <w:t>）的规定，本单位为符合条件的残疾人福利性单位，且本单位参加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单位的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pPr>
        <w:widowControl/>
        <w:shd w:val="clear" w:color="auto" w:fill="FFFFFF"/>
        <w:spacing w:line="480" w:lineRule="atLeast"/>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pPr>
        <w:widowControl/>
        <w:shd w:val="clear" w:color="auto" w:fill="FFFFFF"/>
        <w:spacing w:line="480" w:lineRule="atLeast"/>
        <w:ind w:firstLine="420"/>
        <w:jc w:val="left"/>
        <w:rPr>
          <w:rFonts w:hint="eastAsia" w:ascii="仿宋" w:hAnsi="仿宋" w:eastAsia="仿宋" w:cs="仿宋"/>
          <w:color w:val="auto"/>
          <w:sz w:val="24"/>
          <w:szCs w:val="24"/>
          <w:highlight w:val="none"/>
        </w:rPr>
      </w:pPr>
    </w:p>
    <w:p>
      <w:pPr>
        <w:widowControl/>
        <w:shd w:val="clear" w:color="auto" w:fill="FFFFFF"/>
        <w:spacing w:line="480" w:lineRule="atLeast"/>
        <w:ind w:firstLine="420"/>
        <w:jc w:val="left"/>
        <w:rPr>
          <w:rFonts w:hint="eastAsia" w:ascii="仿宋" w:hAnsi="仿宋" w:eastAsia="仿宋" w:cs="仿宋"/>
          <w:color w:val="auto"/>
          <w:sz w:val="24"/>
          <w:szCs w:val="24"/>
          <w:highlight w:val="none"/>
        </w:rPr>
      </w:pPr>
    </w:p>
    <w:p>
      <w:pPr>
        <w:widowControl/>
        <w:shd w:val="clear" w:color="auto" w:fill="FFFFFF"/>
        <w:spacing w:line="480" w:lineRule="atLeast"/>
        <w:ind w:firstLine="496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单位名称（盖章）：</w:t>
      </w:r>
    </w:p>
    <w:p>
      <w:pPr>
        <w:widowControl/>
        <w:shd w:val="clear" w:color="auto" w:fill="FFFFFF"/>
        <w:spacing w:line="480" w:lineRule="atLeast"/>
        <w:ind w:firstLine="496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pPr>
        <w:pStyle w:val="580"/>
        <w:tabs>
          <w:tab w:val="left" w:pos="312"/>
        </w:tabs>
        <w:spacing w:line="360" w:lineRule="auto"/>
        <w:jc w:val="left"/>
        <w:rPr>
          <w:rFonts w:hint="eastAsia" w:ascii="仿宋" w:hAnsi="仿宋" w:eastAsia="仿宋" w:cs="仿宋"/>
          <w:b/>
          <w:color w:val="auto"/>
          <w:sz w:val="24"/>
          <w:szCs w:val="30"/>
          <w:highlight w:val="none"/>
        </w:rPr>
      </w:pPr>
      <w:r>
        <w:rPr>
          <w:rFonts w:hint="eastAsia" w:ascii="仿宋" w:hAnsi="仿宋" w:eastAsia="仿宋" w:cs="仿宋"/>
          <w:b/>
          <w:bCs/>
          <w:color w:val="auto"/>
          <w:sz w:val="24"/>
          <w:szCs w:val="24"/>
          <w:highlight w:val="none"/>
        </w:rPr>
        <w:br w:type="page" w:clear="all"/>
      </w:r>
      <w:r>
        <w:rPr>
          <w:rFonts w:hint="eastAsia" w:ascii="仿宋" w:hAnsi="仿宋" w:eastAsia="仿宋" w:cs="仿宋"/>
          <w:color w:val="auto"/>
          <w:sz w:val="28"/>
          <w:szCs w:val="28"/>
          <w:highlight w:val="none"/>
        </w:rPr>
        <w:t>（七）人员配置表及拟派项目负责人简历表（格式）：</w:t>
      </w:r>
    </w:p>
    <w:p>
      <w:pPr>
        <w:spacing w:line="400" w:lineRule="exact"/>
        <w:ind w:left="843" w:hanging="843"/>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（1）人员配置表</w:t>
      </w:r>
    </w:p>
    <w:p>
      <w:pPr>
        <w:rPr>
          <w:rFonts w:hint="eastAsia" w:ascii="仿宋" w:hAnsi="仿宋" w:eastAsia="仿宋" w:cs="仿宋"/>
          <w:color w:val="auto"/>
          <w:szCs w:val="24"/>
          <w:highlight w:val="none"/>
        </w:rPr>
      </w:pPr>
    </w:p>
    <w:p>
      <w:pPr>
        <w:spacing w:line="360" w:lineRule="auto"/>
        <w:rPr>
          <w:rFonts w:hint="eastAsia" w:ascii="仿宋" w:hAnsi="仿宋" w:eastAsia="仿宋" w:cs="仿宋"/>
          <w:b/>
          <w:color w:val="auto"/>
          <w:szCs w:val="21"/>
          <w:highlight w:val="none"/>
        </w:rPr>
      </w:pPr>
      <w:r>
        <w:rPr>
          <w:rFonts w:hint="eastAsia" w:ascii="仿宋" w:hAnsi="仿宋" w:eastAsia="仿宋" w:cs="仿宋"/>
          <w:bCs/>
          <w:color w:val="auto"/>
          <w:sz w:val="24"/>
          <w:szCs w:val="22"/>
          <w:highlight w:val="none"/>
        </w:rPr>
        <w:t xml:space="preserve">投标供应商名称（盖章）                      政府采购编号：           </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446"/>
        <w:gridCol w:w="1152"/>
        <w:gridCol w:w="945"/>
        <w:gridCol w:w="840"/>
        <w:gridCol w:w="822"/>
        <w:gridCol w:w="1581"/>
        <w:gridCol w:w="1470"/>
        <w:gridCol w:w="10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41" w:type="dxa"/>
            <w:noWrap/>
            <w:vAlign w:val="center"/>
          </w:tcPr>
          <w:p>
            <w:pPr>
              <w:spacing w:line="360" w:lineRule="auto"/>
              <w:jc w:val="center"/>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序号</w:t>
            </w:r>
          </w:p>
        </w:tc>
        <w:tc>
          <w:tcPr>
            <w:tcW w:w="1446" w:type="dxa"/>
            <w:noWrap/>
            <w:vAlign w:val="center"/>
          </w:tcPr>
          <w:p>
            <w:pPr>
              <w:spacing w:line="360" w:lineRule="auto"/>
              <w:jc w:val="center"/>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岗位名称</w:t>
            </w:r>
          </w:p>
        </w:tc>
        <w:tc>
          <w:tcPr>
            <w:tcW w:w="1152" w:type="dxa"/>
            <w:noWrap/>
            <w:vAlign w:val="center"/>
          </w:tcPr>
          <w:p>
            <w:pPr>
              <w:spacing w:line="360" w:lineRule="auto"/>
              <w:jc w:val="center"/>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姓名</w:t>
            </w:r>
          </w:p>
        </w:tc>
        <w:tc>
          <w:tcPr>
            <w:tcW w:w="945" w:type="dxa"/>
            <w:noWrap/>
            <w:vAlign w:val="center"/>
          </w:tcPr>
          <w:p>
            <w:pPr>
              <w:spacing w:line="360" w:lineRule="auto"/>
              <w:jc w:val="center"/>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性别</w:t>
            </w:r>
          </w:p>
        </w:tc>
        <w:tc>
          <w:tcPr>
            <w:tcW w:w="840" w:type="dxa"/>
            <w:noWrap/>
            <w:vAlign w:val="center"/>
          </w:tcPr>
          <w:p>
            <w:pPr>
              <w:spacing w:line="360" w:lineRule="auto"/>
              <w:jc w:val="center"/>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年龄</w:t>
            </w:r>
          </w:p>
        </w:tc>
        <w:tc>
          <w:tcPr>
            <w:tcW w:w="822" w:type="dxa"/>
            <w:noWrap/>
            <w:vAlign w:val="center"/>
          </w:tcPr>
          <w:p>
            <w:pPr>
              <w:spacing w:line="360" w:lineRule="auto"/>
              <w:jc w:val="center"/>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学历</w:t>
            </w:r>
          </w:p>
        </w:tc>
        <w:tc>
          <w:tcPr>
            <w:tcW w:w="1581" w:type="dxa"/>
            <w:noWrap/>
            <w:vAlign w:val="center"/>
          </w:tcPr>
          <w:p>
            <w:pPr>
              <w:spacing w:line="360" w:lineRule="auto"/>
              <w:jc w:val="center"/>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持证证书名称</w:t>
            </w:r>
          </w:p>
          <w:p>
            <w:pPr>
              <w:spacing w:line="360" w:lineRule="auto"/>
              <w:jc w:val="center"/>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、证号</w:t>
            </w:r>
          </w:p>
        </w:tc>
        <w:tc>
          <w:tcPr>
            <w:tcW w:w="1470" w:type="dxa"/>
            <w:noWrap/>
            <w:vAlign w:val="center"/>
          </w:tcPr>
          <w:p>
            <w:pPr>
              <w:spacing w:line="360" w:lineRule="auto"/>
              <w:jc w:val="center"/>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从事技术</w:t>
            </w:r>
          </w:p>
          <w:p>
            <w:pPr>
              <w:spacing w:line="360" w:lineRule="auto"/>
              <w:jc w:val="center"/>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领域年限</w:t>
            </w:r>
          </w:p>
        </w:tc>
        <w:tc>
          <w:tcPr>
            <w:tcW w:w="1013" w:type="dxa"/>
            <w:noWrap/>
            <w:vAlign w:val="center"/>
          </w:tcPr>
          <w:p>
            <w:pPr>
              <w:spacing w:line="360" w:lineRule="auto"/>
              <w:jc w:val="center"/>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41" w:type="dxa"/>
            <w:noWrap/>
            <w:vAlign w:val="center"/>
          </w:tcPr>
          <w:p>
            <w:pPr>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1</w:t>
            </w:r>
          </w:p>
        </w:tc>
        <w:tc>
          <w:tcPr>
            <w:tcW w:w="1446" w:type="dxa"/>
            <w:noWrap/>
            <w:vAlign w:val="center"/>
          </w:tcPr>
          <w:p>
            <w:pPr>
              <w:spacing w:line="360" w:lineRule="auto"/>
              <w:jc w:val="center"/>
              <w:rPr>
                <w:rFonts w:hint="eastAsia" w:ascii="仿宋" w:hAnsi="仿宋" w:eastAsia="仿宋" w:cs="仿宋"/>
                <w:color w:val="auto"/>
                <w:szCs w:val="22"/>
                <w:highlight w:val="none"/>
              </w:rPr>
            </w:pPr>
          </w:p>
        </w:tc>
        <w:tc>
          <w:tcPr>
            <w:tcW w:w="1152" w:type="dxa"/>
            <w:noWrap/>
            <w:vAlign w:val="center"/>
          </w:tcPr>
          <w:p>
            <w:pPr>
              <w:spacing w:line="360" w:lineRule="auto"/>
              <w:jc w:val="center"/>
              <w:rPr>
                <w:rFonts w:hint="eastAsia" w:ascii="仿宋" w:hAnsi="仿宋" w:eastAsia="仿宋" w:cs="仿宋"/>
                <w:color w:val="auto"/>
                <w:szCs w:val="22"/>
                <w:highlight w:val="none"/>
              </w:rPr>
            </w:pPr>
          </w:p>
        </w:tc>
        <w:tc>
          <w:tcPr>
            <w:tcW w:w="945" w:type="dxa"/>
            <w:noWrap/>
            <w:vAlign w:val="center"/>
          </w:tcPr>
          <w:p>
            <w:pPr>
              <w:spacing w:line="360" w:lineRule="auto"/>
              <w:jc w:val="center"/>
              <w:rPr>
                <w:rFonts w:hint="eastAsia" w:ascii="仿宋" w:hAnsi="仿宋" w:eastAsia="仿宋" w:cs="仿宋"/>
                <w:b/>
                <w:color w:val="auto"/>
                <w:szCs w:val="22"/>
                <w:highlight w:val="none"/>
              </w:rPr>
            </w:pPr>
          </w:p>
        </w:tc>
        <w:tc>
          <w:tcPr>
            <w:tcW w:w="840" w:type="dxa"/>
            <w:noWrap/>
            <w:vAlign w:val="center"/>
          </w:tcPr>
          <w:p>
            <w:pPr>
              <w:spacing w:line="360" w:lineRule="auto"/>
              <w:jc w:val="center"/>
              <w:rPr>
                <w:rFonts w:hint="eastAsia" w:ascii="仿宋" w:hAnsi="仿宋" w:eastAsia="仿宋" w:cs="仿宋"/>
                <w:b/>
                <w:color w:val="auto"/>
                <w:szCs w:val="22"/>
                <w:highlight w:val="none"/>
              </w:rPr>
            </w:pPr>
          </w:p>
        </w:tc>
        <w:tc>
          <w:tcPr>
            <w:tcW w:w="822" w:type="dxa"/>
            <w:noWrap/>
            <w:vAlign w:val="center"/>
          </w:tcPr>
          <w:p>
            <w:pPr>
              <w:spacing w:line="360" w:lineRule="auto"/>
              <w:jc w:val="center"/>
              <w:rPr>
                <w:rFonts w:hint="eastAsia" w:ascii="仿宋" w:hAnsi="仿宋" w:eastAsia="仿宋" w:cs="仿宋"/>
                <w:color w:val="auto"/>
                <w:szCs w:val="22"/>
                <w:highlight w:val="none"/>
              </w:rPr>
            </w:pPr>
          </w:p>
        </w:tc>
        <w:tc>
          <w:tcPr>
            <w:tcW w:w="1581" w:type="dxa"/>
            <w:noWrap/>
            <w:vAlign w:val="center"/>
          </w:tcPr>
          <w:p>
            <w:pPr>
              <w:spacing w:line="360" w:lineRule="auto"/>
              <w:jc w:val="center"/>
              <w:rPr>
                <w:rFonts w:hint="eastAsia" w:ascii="仿宋" w:hAnsi="仿宋" w:eastAsia="仿宋" w:cs="仿宋"/>
                <w:color w:val="auto"/>
                <w:szCs w:val="22"/>
                <w:highlight w:val="none"/>
              </w:rPr>
            </w:pPr>
          </w:p>
        </w:tc>
        <w:tc>
          <w:tcPr>
            <w:tcW w:w="1470" w:type="dxa"/>
            <w:noWrap/>
            <w:vAlign w:val="center"/>
          </w:tcPr>
          <w:p>
            <w:pPr>
              <w:spacing w:line="360" w:lineRule="auto"/>
              <w:jc w:val="center"/>
              <w:rPr>
                <w:rFonts w:hint="eastAsia" w:ascii="仿宋" w:hAnsi="仿宋" w:eastAsia="仿宋" w:cs="仿宋"/>
                <w:color w:val="auto"/>
                <w:szCs w:val="22"/>
                <w:highlight w:val="none"/>
              </w:rPr>
            </w:pPr>
          </w:p>
        </w:tc>
        <w:tc>
          <w:tcPr>
            <w:tcW w:w="1013" w:type="dxa"/>
            <w:noWrap/>
            <w:vAlign w:val="center"/>
          </w:tcPr>
          <w:p>
            <w:pPr>
              <w:spacing w:line="360" w:lineRule="auto"/>
              <w:jc w:val="center"/>
              <w:rPr>
                <w:rFonts w:hint="eastAsia" w:ascii="仿宋" w:hAnsi="仿宋" w:eastAsia="仿宋" w:cs="仿宋"/>
                <w:color w:val="auto"/>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41" w:type="dxa"/>
            <w:noWrap/>
            <w:vAlign w:val="center"/>
          </w:tcPr>
          <w:p>
            <w:pPr>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2</w:t>
            </w:r>
          </w:p>
        </w:tc>
        <w:tc>
          <w:tcPr>
            <w:tcW w:w="1446" w:type="dxa"/>
            <w:noWrap/>
            <w:vAlign w:val="center"/>
          </w:tcPr>
          <w:p>
            <w:pPr>
              <w:spacing w:line="360" w:lineRule="auto"/>
              <w:jc w:val="center"/>
              <w:rPr>
                <w:rFonts w:hint="eastAsia" w:ascii="仿宋" w:hAnsi="仿宋" w:eastAsia="仿宋" w:cs="仿宋"/>
                <w:color w:val="auto"/>
                <w:szCs w:val="22"/>
                <w:highlight w:val="none"/>
              </w:rPr>
            </w:pPr>
          </w:p>
        </w:tc>
        <w:tc>
          <w:tcPr>
            <w:tcW w:w="1152" w:type="dxa"/>
            <w:noWrap/>
            <w:vAlign w:val="center"/>
          </w:tcPr>
          <w:p>
            <w:pPr>
              <w:spacing w:line="360" w:lineRule="auto"/>
              <w:jc w:val="center"/>
              <w:rPr>
                <w:rFonts w:hint="eastAsia" w:ascii="仿宋" w:hAnsi="仿宋" w:eastAsia="仿宋" w:cs="仿宋"/>
                <w:color w:val="auto"/>
                <w:szCs w:val="22"/>
                <w:highlight w:val="none"/>
              </w:rPr>
            </w:pPr>
          </w:p>
        </w:tc>
        <w:tc>
          <w:tcPr>
            <w:tcW w:w="945" w:type="dxa"/>
            <w:noWrap/>
            <w:vAlign w:val="center"/>
          </w:tcPr>
          <w:p>
            <w:pPr>
              <w:spacing w:line="360" w:lineRule="auto"/>
              <w:jc w:val="center"/>
              <w:rPr>
                <w:rFonts w:hint="eastAsia" w:ascii="仿宋" w:hAnsi="仿宋" w:eastAsia="仿宋" w:cs="仿宋"/>
                <w:color w:val="auto"/>
                <w:szCs w:val="22"/>
                <w:highlight w:val="none"/>
              </w:rPr>
            </w:pPr>
          </w:p>
        </w:tc>
        <w:tc>
          <w:tcPr>
            <w:tcW w:w="840" w:type="dxa"/>
            <w:noWrap/>
            <w:vAlign w:val="center"/>
          </w:tcPr>
          <w:p>
            <w:pPr>
              <w:spacing w:line="360" w:lineRule="auto"/>
              <w:jc w:val="center"/>
              <w:rPr>
                <w:rFonts w:hint="eastAsia" w:ascii="仿宋" w:hAnsi="仿宋" w:eastAsia="仿宋" w:cs="仿宋"/>
                <w:color w:val="auto"/>
                <w:szCs w:val="22"/>
                <w:highlight w:val="none"/>
              </w:rPr>
            </w:pPr>
          </w:p>
        </w:tc>
        <w:tc>
          <w:tcPr>
            <w:tcW w:w="822" w:type="dxa"/>
            <w:noWrap/>
            <w:vAlign w:val="center"/>
          </w:tcPr>
          <w:p>
            <w:pPr>
              <w:spacing w:line="360" w:lineRule="auto"/>
              <w:jc w:val="center"/>
              <w:rPr>
                <w:rFonts w:hint="eastAsia" w:ascii="仿宋" w:hAnsi="仿宋" w:eastAsia="仿宋" w:cs="仿宋"/>
                <w:color w:val="auto"/>
                <w:szCs w:val="22"/>
                <w:highlight w:val="none"/>
              </w:rPr>
            </w:pPr>
          </w:p>
        </w:tc>
        <w:tc>
          <w:tcPr>
            <w:tcW w:w="1581" w:type="dxa"/>
            <w:noWrap/>
            <w:vAlign w:val="center"/>
          </w:tcPr>
          <w:p>
            <w:pPr>
              <w:spacing w:line="360" w:lineRule="auto"/>
              <w:jc w:val="center"/>
              <w:rPr>
                <w:rFonts w:hint="eastAsia" w:ascii="仿宋" w:hAnsi="仿宋" w:eastAsia="仿宋" w:cs="仿宋"/>
                <w:color w:val="auto"/>
                <w:szCs w:val="22"/>
                <w:highlight w:val="none"/>
              </w:rPr>
            </w:pPr>
          </w:p>
        </w:tc>
        <w:tc>
          <w:tcPr>
            <w:tcW w:w="1470" w:type="dxa"/>
            <w:noWrap/>
            <w:vAlign w:val="center"/>
          </w:tcPr>
          <w:p>
            <w:pPr>
              <w:spacing w:line="360" w:lineRule="auto"/>
              <w:jc w:val="center"/>
              <w:rPr>
                <w:rFonts w:hint="eastAsia" w:ascii="仿宋" w:hAnsi="仿宋" w:eastAsia="仿宋" w:cs="仿宋"/>
                <w:color w:val="auto"/>
                <w:szCs w:val="22"/>
                <w:highlight w:val="none"/>
              </w:rPr>
            </w:pPr>
          </w:p>
        </w:tc>
        <w:tc>
          <w:tcPr>
            <w:tcW w:w="1013" w:type="dxa"/>
            <w:noWrap/>
            <w:vAlign w:val="center"/>
          </w:tcPr>
          <w:p>
            <w:pPr>
              <w:spacing w:line="360" w:lineRule="auto"/>
              <w:jc w:val="center"/>
              <w:rPr>
                <w:rFonts w:hint="eastAsia" w:ascii="仿宋" w:hAnsi="仿宋" w:eastAsia="仿宋" w:cs="仿宋"/>
                <w:color w:val="auto"/>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41" w:type="dxa"/>
            <w:noWrap/>
            <w:vAlign w:val="center"/>
          </w:tcPr>
          <w:p>
            <w:pPr>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3</w:t>
            </w:r>
          </w:p>
        </w:tc>
        <w:tc>
          <w:tcPr>
            <w:tcW w:w="1446" w:type="dxa"/>
            <w:noWrap/>
            <w:vAlign w:val="center"/>
          </w:tcPr>
          <w:p>
            <w:pPr>
              <w:spacing w:line="360" w:lineRule="auto"/>
              <w:jc w:val="center"/>
              <w:rPr>
                <w:rFonts w:hint="eastAsia" w:ascii="仿宋" w:hAnsi="仿宋" w:eastAsia="仿宋" w:cs="仿宋"/>
                <w:color w:val="auto"/>
                <w:szCs w:val="22"/>
                <w:highlight w:val="none"/>
              </w:rPr>
            </w:pPr>
          </w:p>
        </w:tc>
        <w:tc>
          <w:tcPr>
            <w:tcW w:w="1152" w:type="dxa"/>
            <w:noWrap/>
            <w:vAlign w:val="center"/>
          </w:tcPr>
          <w:p>
            <w:pPr>
              <w:spacing w:line="360" w:lineRule="auto"/>
              <w:jc w:val="center"/>
              <w:rPr>
                <w:rFonts w:hint="eastAsia" w:ascii="仿宋" w:hAnsi="仿宋" w:eastAsia="仿宋" w:cs="仿宋"/>
                <w:color w:val="auto"/>
                <w:szCs w:val="22"/>
                <w:highlight w:val="none"/>
              </w:rPr>
            </w:pPr>
          </w:p>
        </w:tc>
        <w:tc>
          <w:tcPr>
            <w:tcW w:w="945" w:type="dxa"/>
            <w:noWrap/>
            <w:vAlign w:val="center"/>
          </w:tcPr>
          <w:p>
            <w:pPr>
              <w:spacing w:line="360" w:lineRule="auto"/>
              <w:jc w:val="center"/>
              <w:rPr>
                <w:rFonts w:hint="eastAsia" w:ascii="仿宋" w:hAnsi="仿宋" w:eastAsia="仿宋" w:cs="仿宋"/>
                <w:color w:val="auto"/>
                <w:szCs w:val="22"/>
                <w:highlight w:val="none"/>
              </w:rPr>
            </w:pPr>
          </w:p>
        </w:tc>
        <w:tc>
          <w:tcPr>
            <w:tcW w:w="840" w:type="dxa"/>
            <w:noWrap/>
            <w:vAlign w:val="center"/>
          </w:tcPr>
          <w:p>
            <w:pPr>
              <w:spacing w:line="360" w:lineRule="auto"/>
              <w:jc w:val="center"/>
              <w:rPr>
                <w:rFonts w:hint="eastAsia" w:ascii="仿宋" w:hAnsi="仿宋" w:eastAsia="仿宋" w:cs="仿宋"/>
                <w:color w:val="auto"/>
                <w:szCs w:val="22"/>
                <w:highlight w:val="none"/>
              </w:rPr>
            </w:pPr>
          </w:p>
        </w:tc>
        <w:tc>
          <w:tcPr>
            <w:tcW w:w="822" w:type="dxa"/>
            <w:noWrap/>
            <w:vAlign w:val="center"/>
          </w:tcPr>
          <w:p>
            <w:pPr>
              <w:spacing w:line="360" w:lineRule="auto"/>
              <w:jc w:val="center"/>
              <w:rPr>
                <w:rFonts w:hint="eastAsia" w:ascii="仿宋" w:hAnsi="仿宋" w:eastAsia="仿宋" w:cs="仿宋"/>
                <w:color w:val="auto"/>
                <w:szCs w:val="22"/>
                <w:highlight w:val="none"/>
              </w:rPr>
            </w:pPr>
          </w:p>
        </w:tc>
        <w:tc>
          <w:tcPr>
            <w:tcW w:w="1581" w:type="dxa"/>
            <w:noWrap/>
            <w:vAlign w:val="center"/>
          </w:tcPr>
          <w:p>
            <w:pPr>
              <w:spacing w:line="360" w:lineRule="auto"/>
              <w:jc w:val="center"/>
              <w:rPr>
                <w:rFonts w:hint="eastAsia" w:ascii="仿宋" w:hAnsi="仿宋" w:eastAsia="仿宋" w:cs="仿宋"/>
                <w:color w:val="auto"/>
                <w:szCs w:val="22"/>
                <w:highlight w:val="none"/>
              </w:rPr>
            </w:pPr>
          </w:p>
        </w:tc>
        <w:tc>
          <w:tcPr>
            <w:tcW w:w="1470" w:type="dxa"/>
            <w:noWrap/>
            <w:vAlign w:val="center"/>
          </w:tcPr>
          <w:p>
            <w:pPr>
              <w:spacing w:line="360" w:lineRule="auto"/>
              <w:jc w:val="center"/>
              <w:rPr>
                <w:rFonts w:hint="eastAsia" w:ascii="仿宋" w:hAnsi="仿宋" w:eastAsia="仿宋" w:cs="仿宋"/>
                <w:color w:val="auto"/>
                <w:szCs w:val="22"/>
                <w:highlight w:val="none"/>
              </w:rPr>
            </w:pPr>
          </w:p>
        </w:tc>
        <w:tc>
          <w:tcPr>
            <w:tcW w:w="1013" w:type="dxa"/>
            <w:noWrap/>
            <w:vAlign w:val="center"/>
          </w:tcPr>
          <w:p>
            <w:pPr>
              <w:spacing w:line="360" w:lineRule="auto"/>
              <w:jc w:val="center"/>
              <w:rPr>
                <w:rFonts w:hint="eastAsia" w:ascii="仿宋" w:hAnsi="仿宋" w:eastAsia="仿宋" w:cs="仿宋"/>
                <w:color w:val="auto"/>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41" w:type="dxa"/>
            <w:noWrap/>
            <w:vAlign w:val="center"/>
          </w:tcPr>
          <w:p>
            <w:pPr>
              <w:spacing w:line="360" w:lineRule="auto"/>
              <w:rPr>
                <w:rFonts w:hint="eastAsia" w:ascii="仿宋" w:hAnsi="仿宋" w:eastAsia="仿宋" w:cs="仿宋"/>
                <w:color w:val="auto"/>
                <w:szCs w:val="22"/>
                <w:highlight w:val="none"/>
              </w:rPr>
            </w:pPr>
            <w:r>
              <w:rPr>
                <w:rFonts w:hint="eastAsia" w:ascii="仿宋" w:hAnsi="仿宋" w:eastAsia="仿宋" w:cs="仿宋"/>
                <w:color w:val="auto"/>
                <w:szCs w:val="22"/>
                <w:highlight w:val="none"/>
              </w:rPr>
              <w:t>… …</w:t>
            </w:r>
          </w:p>
        </w:tc>
        <w:tc>
          <w:tcPr>
            <w:tcW w:w="1446" w:type="dxa"/>
            <w:noWrap/>
            <w:vAlign w:val="top"/>
          </w:tcPr>
          <w:p>
            <w:pPr>
              <w:spacing w:line="360" w:lineRule="auto"/>
              <w:jc w:val="center"/>
              <w:rPr>
                <w:rFonts w:hint="eastAsia" w:ascii="仿宋" w:hAnsi="仿宋" w:eastAsia="仿宋" w:cs="仿宋"/>
                <w:color w:val="auto"/>
                <w:szCs w:val="22"/>
                <w:highlight w:val="none"/>
              </w:rPr>
            </w:pPr>
          </w:p>
        </w:tc>
        <w:tc>
          <w:tcPr>
            <w:tcW w:w="1152" w:type="dxa"/>
            <w:noWrap/>
            <w:vAlign w:val="center"/>
          </w:tcPr>
          <w:p>
            <w:pPr>
              <w:spacing w:line="360" w:lineRule="auto"/>
              <w:jc w:val="center"/>
              <w:rPr>
                <w:rFonts w:hint="eastAsia" w:ascii="仿宋" w:hAnsi="仿宋" w:eastAsia="仿宋" w:cs="仿宋"/>
                <w:color w:val="auto"/>
                <w:szCs w:val="22"/>
                <w:highlight w:val="none"/>
              </w:rPr>
            </w:pPr>
          </w:p>
        </w:tc>
        <w:tc>
          <w:tcPr>
            <w:tcW w:w="945" w:type="dxa"/>
            <w:noWrap/>
            <w:vAlign w:val="center"/>
          </w:tcPr>
          <w:p>
            <w:pPr>
              <w:spacing w:line="360" w:lineRule="auto"/>
              <w:jc w:val="center"/>
              <w:rPr>
                <w:rFonts w:hint="eastAsia" w:ascii="仿宋" w:hAnsi="仿宋" w:eastAsia="仿宋" w:cs="仿宋"/>
                <w:color w:val="auto"/>
                <w:szCs w:val="22"/>
                <w:highlight w:val="none"/>
              </w:rPr>
            </w:pPr>
          </w:p>
        </w:tc>
        <w:tc>
          <w:tcPr>
            <w:tcW w:w="840" w:type="dxa"/>
            <w:noWrap/>
            <w:vAlign w:val="center"/>
          </w:tcPr>
          <w:p>
            <w:pPr>
              <w:spacing w:line="360" w:lineRule="auto"/>
              <w:jc w:val="center"/>
              <w:rPr>
                <w:rFonts w:hint="eastAsia" w:ascii="仿宋" w:hAnsi="仿宋" w:eastAsia="仿宋" w:cs="仿宋"/>
                <w:color w:val="auto"/>
                <w:szCs w:val="22"/>
                <w:highlight w:val="none"/>
              </w:rPr>
            </w:pPr>
          </w:p>
        </w:tc>
        <w:tc>
          <w:tcPr>
            <w:tcW w:w="822" w:type="dxa"/>
            <w:noWrap/>
            <w:vAlign w:val="center"/>
          </w:tcPr>
          <w:p>
            <w:pPr>
              <w:spacing w:line="360" w:lineRule="auto"/>
              <w:jc w:val="center"/>
              <w:rPr>
                <w:rFonts w:hint="eastAsia" w:ascii="仿宋" w:hAnsi="仿宋" w:eastAsia="仿宋" w:cs="仿宋"/>
                <w:color w:val="auto"/>
                <w:szCs w:val="22"/>
                <w:highlight w:val="none"/>
              </w:rPr>
            </w:pPr>
          </w:p>
        </w:tc>
        <w:tc>
          <w:tcPr>
            <w:tcW w:w="1581" w:type="dxa"/>
            <w:noWrap/>
            <w:vAlign w:val="center"/>
          </w:tcPr>
          <w:p>
            <w:pPr>
              <w:spacing w:line="360" w:lineRule="auto"/>
              <w:jc w:val="center"/>
              <w:rPr>
                <w:rFonts w:hint="eastAsia" w:ascii="仿宋" w:hAnsi="仿宋" w:eastAsia="仿宋" w:cs="仿宋"/>
                <w:color w:val="auto"/>
                <w:szCs w:val="22"/>
                <w:highlight w:val="none"/>
              </w:rPr>
            </w:pPr>
          </w:p>
        </w:tc>
        <w:tc>
          <w:tcPr>
            <w:tcW w:w="1470" w:type="dxa"/>
            <w:noWrap/>
            <w:vAlign w:val="center"/>
          </w:tcPr>
          <w:p>
            <w:pPr>
              <w:spacing w:line="360" w:lineRule="auto"/>
              <w:jc w:val="center"/>
              <w:rPr>
                <w:rFonts w:hint="eastAsia" w:ascii="仿宋" w:hAnsi="仿宋" w:eastAsia="仿宋" w:cs="仿宋"/>
                <w:color w:val="auto"/>
                <w:szCs w:val="22"/>
                <w:highlight w:val="none"/>
              </w:rPr>
            </w:pPr>
          </w:p>
        </w:tc>
        <w:tc>
          <w:tcPr>
            <w:tcW w:w="1013" w:type="dxa"/>
            <w:noWrap/>
            <w:vAlign w:val="center"/>
          </w:tcPr>
          <w:p>
            <w:pPr>
              <w:spacing w:line="360" w:lineRule="auto"/>
              <w:jc w:val="center"/>
              <w:rPr>
                <w:rFonts w:hint="eastAsia" w:ascii="仿宋" w:hAnsi="仿宋" w:eastAsia="仿宋" w:cs="仿宋"/>
                <w:color w:val="auto"/>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41" w:type="dxa"/>
            <w:noWrap/>
            <w:vAlign w:val="center"/>
          </w:tcPr>
          <w:p>
            <w:pPr>
              <w:spacing w:line="360" w:lineRule="auto"/>
              <w:jc w:val="center"/>
              <w:rPr>
                <w:rFonts w:hint="eastAsia" w:ascii="仿宋" w:hAnsi="仿宋" w:eastAsia="仿宋" w:cs="仿宋"/>
                <w:color w:val="auto"/>
                <w:szCs w:val="22"/>
                <w:highlight w:val="none"/>
              </w:rPr>
            </w:pPr>
          </w:p>
        </w:tc>
        <w:tc>
          <w:tcPr>
            <w:tcW w:w="1446" w:type="dxa"/>
            <w:noWrap/>
            <w:vAlign w:val="center"/>
          </w:tcPr>
          <w:p>
            <w:pPr>
              <w:spacing w:line="360" w:lineRule="auto"/>
              <w:rPr>
                <w:rFonts w:hint="eastAsia" w:ascii="仿宋" w:hAnsi="仿宋" w:eastAsia="仿宋" w:cs="仿宋"/>
                <w:color w:val="auto"/>
                <w:szCs w:val="22"/>
                <w:highlight w:val="none"/>
              </w:rPr>
            </w:pPr>
          </w:p>
        </w:tc>
        <w:tc>
          <w:tcPr>
            <w:tcW w:w="1152" w:type="dxa"/>
            <w:noWrap/>
            <w:vAlign w:val="center"/>
          </w:tcPr>
          <w:p>
            <w:pPr>
              <w:spacing w:line="360" w:lineRule="auto"/>
              <w:jc w:val="center"/>
              <w:rPr>
                <w:rFonts w:hint="eastAsia" w:ascii="仿宋" w:hAnsi="仿宋" w:eastAsia="仿宋" w:cs="仿宋"/>
                <w:color w:val="auto"/>
                <w:szCs w:val="22"/>
                <w:highlight w:val="none"/>
              </w:rPr>
            </w:pPr>
          </w:p>
        </w:tc>
        <w:tc>
          <w:tcPr>
            <w:tcW w:w="945" w:type="dxa"/>
            <w:noWrap/>
            <w:vAlign w:val="center"/>
          </w:tcPr>
          <w:p>
            <w:pPr>
              <w:spacing w:line="360" w:lineRule="auto"/>
              <w:jc w:val="center"/>
              <w:rPr>
                <w:rFonts w:hint="eastAsia" w:ascii="仿宋" w:hAnsi="仿宋" w:eastAsia="仿宋" w:cs="仿宋"/>
                <w:color w:val="auto"/>
                <w:szCs w:val="22"/>
                <w:highlight w:val="none"/>
              </w:rPr>
            </w:pPr>
          </w:p>
        </w:tc>
        <w:tc>
          <w:tcPr>
            <w:tcW w:w="840" w:type="dxa"/>
            <w:noWrap/>
            <w:vAlign w:val="center"/>
          </w:tcPr>
          <w:p>
            <w:pPr>
              <w:spacing w:line="360" w:lineRule="auto"/>
              <w:jc w:val="center"/>
              <w:rPr>
                <w:rFonts w:hint="eastAsia" w:ascii="仿宋" w:hAnsi="仿宋" w:eastAsia="仿宋" w:cs="仿宋"/>
                <w:color w:val="auto"/>
                <w:szCs w:val="22"/>
                <w:highlight w:val="none"/>
              </w:rPr>
            </w:pPr>
          </w:p>
        </w:tc>
        <w:tc>
          <w:tcPr>
            <w:tcW w:w="822" w:type="dxa"/>
            <w:noWrap/>
            <w:vAlign w:val="center"/>
          </w:tcPr>
          <w:p>
            <w:pPr>
              <w:spacing w:line="360" w:lineRule="auto"/>
              <w:jc w:val="center"/>
              <w:rPr>
                <w:rFonts w:hint="eastAsia" w:ascii="仿宋" w:hAnsi="仿宋" w:eastAsia="仿宋" w:cs="仿宋"/>
                <w:color w:val="auto"/>
                <w:szCs w:val="22"/>
                <w:highlight w:val="none"/>
              </w:rPr>
            </w:pPr>
          </w:p>
        </w:tc>
        <w:tc>
          <w:tcPr>
            <w:tcW w:w="1581" w:type="dxa"/>
            <w:noWrap/>
            <w:vAlign w:val="center"/>
          </w:tcPr>
          <w:p>
            <w:pPr>
              <w:spacing w:line="360" w:lineRule="auto"/>
              <w:jc w:val="center"/>
              <w:rPr>
                <w:rFonts w:hint="eastAsia" w:ascii="仿宋" w:hAnsi="仿宋" w:eastAsia="仿宋" w:cs="仿宋"/>
                <w:color w:val="auto"/>
                <w:szCs w:val="22"/>
                <w:highlight w:val="none"/>
              </w:rPr>
            </w:pPr>
          </w:p>
        </w:tc>
        <w:tc>
          <w:tcPr>
            <w:tcW w:w="1470" w:type="dxa"/>
            <w:noWrap/>
            <w:vAlign w:val="center"/>
          </w:tcPr>
          <w:p>
            <w:pPr>
              <w:spacing w:line="360" w:lineRule="auto"/>
              <w:jc w:val="center"/>
              <w:rPr>
                <w:rFonts w:hint="eastAsia" w:ascii="仿宋" w:hAnsi="仿宋" w:eastAsia="仿宋" w:cs="仿宋"/>
                <w:color w:val="auto"/>
                <w:szCs w:val="22"/>
                <w:highlight w:val="none"/>
              </w:rPr>
            </w:pPr>
          </w:p>
        </w:tc>
        <w:tc>
          <w:tcPr>
            <w:tcW w:w="1013" w:type="dxa"/>
            <w:noWrap/>
            <w:vAlign w:val="center"/>
          </w:tcPr>
          <w:p>
            <w:pPr>
              <w:spacing w:line="360" w:lineRule="auto"/>
              <w:jc w:val="center"/>
              <w:rPr>
                <w:rFonts w:hint="eastAsia" w:ascii="仿宋" w:hAnsi="仿宋" w:eastAsia="仿宋" w:cs="仿宋"/>
                <w:color w:val="auto"/>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41" w:type="dxa"/>
            <w:noWrap/>
            <w:vAlign w:val="center"/>
          </w:tcPr>
          <w:p>
            <w:pPr>
              <w:spacing w:line="360" w:lineRule="auto"/>
              <w:jc w:val="center"/>
              <w:rPr>
                <w:rFonts w:hint="eastAsia" w:ascii="仿宋" w:hAnsi="仿宋" w:eastAsia="仿宋" w:cs="仿宋"/>
                <w:color w:val="auto"/>
                <w:szCs w:val="22"/>
                <w:highlight w:val="none"/>
              </w:rPr>
            </w:pPr>
          </w:p>
        </w:tc>
        <w:tc>
          <w:tcPr>
            <w:tcW w:w="1446" w:type="dxa"/>
            <w:noWrap/>
            <w:vAlign w:val="center"/>
          </w:tcPr>
          <w:p>
            <w:pPr>
              <w:spacing w:line="360" w:lineRule="auto"/>
              <w:ind w:firstLine="525"/>
              <w:rPr>
                <w:rFonts w:hint="eastAsia" w:ascii="仿宋" w:hAnsi="仿宋" w:eastAsia="仿宋" w:cs="仿宋"/>
                <w:color w:val="auto"/>
                <w:szCs w:val="22"/>
                <w:highlight w:val="none"/>
              </w:rPr>
            </w:pPr>
          </w:p>
        </w:tc>
        <w:tc>
          <w:tcPr>
            <w:tcW w:w="1152" w:type="dxa"/>
            <w:noWrap/>
            <w:vAlign w:val="center"/>
          </w:tcPr>
          <w:p>
            <w:pPr>
              <w:spacing w:line="360" w:lineRule="auto"/>
              <w:jc w:val="center"/>
              <w:rPr>
                <w:rFonts w:hint="eastAsia" w:ascii="仿宋" w:hAnsi="仿宋" w:eastAsia="仿宋" w:cs="仿宋"/>
                <w:color w:val="auto"/>
                <w:szCs w:val="22"/>
                <w:highlight w:val="none"/>
              </w:rPr>
            </w:pPr>
          </w:p>
        </w:tc>
        <w:tc>
          <w:tcPr>
            <w:tcW w:w="945" w:type="dxa"/>
            <w:noWrap/>
            <w:vAlign w:val="center"/>
          </w:tcPr>
          <w:p>
            <w:pPr>
              <w:spacing w:line="360" w:lineRule="auto"/>
              <w:jc w:val="center"/>
              <w:rPr>
                <w:rFonts w:hint="eastAsia" w:ascii="仿宋" w:hAnsi="仿宋" w:eastAsia="仿宋" w:cs="仿宋"/>
                <w:color w:val="auto"/>
                <w:szCs w:val="22"/>
                <w:highlight w:val="none"/>
              </w:rPr>
            </w:pPr>
          </w:p>
        </w:tc>
        <w:tc>
          <w:tcPr>
            <w:tcW w:w="840" w:type="dxa"/>
            <w:noWrap/>
            <w:vAlign w:val="center"/>
          </w:tcPr>
          <w:p>
            <w:pPr>
              <w:spacing w:line="360" w:lineRule="auto"/>
              <w:jc w:val="center"/>
              <w:rPr>
                <w:rFonts w:hint="eastAsia" w:ascii="仿宋" w:hAnsi="仿宋" w:eastAsia="仿宋" w:cs="仿宋"/>
                <w:color w:val="auto"/>
                <w:szCs w:val="22"/>
                <w:highlight w:val="none"/>
              </w:rPr>
            </w:pPr>
          </w:p>
        </w:tc>
        <w:tc>
          <w:tcPr>
            <w:tcW w:w="822" w:type="dxa"/>
            <w:noWrap/>
            <w:vAlign w:val="center"/>
          </w:tcPr>
          <w:p>
            <w:pPr>
              <w:spacing w:line="360" w:lineRule="auto"/>
              <w:jc w:val="center"/>
              <w:rPr>
                <w:rFonts w:hint="eastAsia" w:ascii="仿宋" w:hAnsi="仿宋" w:eastAsia="仿宋" w:cs="仿宋"/>
                <w:color w:val="auto"/>
                <w:szCs w:val="22"/>
                <w:highlight w:val="none"/>
              </w:rPr>
            </w:pPr>
          </w:p>
        </w:tc>
        <w:tc>
          <w:tcPr>
            <w:tcW w:w="1581" w:type="dxa"/>
            <w:noWrap/>
            <w:vAlign w:val="center"/>
          </w:tcPr>
          <w:p>
            <w:pPr>
              <w:spacing w:line="360" w:lineRule="auto"/>
              <w:jc w:val="center"/>
              <w:rPr>
                <w:rFonts w:hint="eastAsia" w:ascii="仿宋" w:hAnsi="仿宋" w:eastAsia="仿宋" w:cs="仿宋"/>
                <w:color w:val="auto"/>
                <w:szCs w:val="22"/>
                <w:highlight w:val="none"/>
              </w:rPr>
            </w:pPr>
          </w:p>
        </w:tc>
        <w:tc>
          <w:tcPr>
            <w:tcW w:w="1470" w:type="dxa"/>
            <w:noWrap/>
            <w:vAlign w:val="center"/>
          </w:tcPr>
          <w:p>
            <w:pPr>
              <w:spacing w:line="360" w:lineRule="auto"/>
              <w:jc w:val="center"/>
              <w:rPr>
                <w:rFonts w:hint="eastAsia" w:ascii="仿宋" w:hAnsi="仿宋" w:eastAsia="仿宋" w:cs="仿宋"/>
                <w:color w:val="auto"/>
                <w:szCs w:val="22"/>
                <w:highlight w:val="none"/>
              </w:rPr>
            </w:pPr>
          </w:p>
        </w:tc>
        <w:tc>
          <w:tcPr>
            <w:tcW w:w="1013" w:type="dxa"/>
            <w:noWrap/>
            <w:vAlign w:val="center"/>
          </w:tcPr>
          <w:p>
            <w:pPr>
              <w:spacing w:line="360" w:lineRule="auto"/>
              <w:jc w:val="center"/>
              <w:rPr>
                <w:rFonts w:hint="eastAsia" w:ascii="仿宋" w:hAnsi="仿宋" w:eastAsia="仿宋" w:cs="仿宋"/>
                <w:color w:val="auto"/>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41" w:type="dxa"/>
            <w:noWrap/>
            <w:vAlign w:val="center"/>
          </w:tcPr>
          <w:p>
            <w:pPr>
              <w:spacing w:line="360" w:lineRule="auto"/>
              <w:jc w:val="center"/>
              <w:rPr>
                <w:rFonts w:hint="eastAsia" w:ascii="仿宋" w:hAnsi="仿宋" w:eastAsia="仿宋" w:cs="仿宋"/>
                <w:color w:val="auto"/>
                <w:szCs w:val="22"/>
                <w:highlight w:val="none"/>
              </w:rPr>
            </w:pPr>
          </w:p>
        </w:tc>
        <w:tc>
          <w:tcPr>
            <w:tcW w:w="1446" w:type="dxa"/>
            <w:noWrap/>
            <w:vAlign w:val="center"/>
          </w:tcPr>
          <w:p>
            <w:pPr>
              <w:spacing w:line="360" w:lineRule="auto"/>
              <w:jc w:val="center"/>
              <w:rPr>
                <w:rFonts w:hint="eastAsia" w:ascii="仿宋" w:hAnsi="仿宋" w:eastAsia="仿宋" w:cs="仿宋"/>
                <w:color w:val="auto"/>
                <w:szCs w:val="22"/>
                <w:highlight w:val="none"/>
              </w:rPr>
            </w:pPr>
          </w:p>
        </w:tc>
        <w:tc>
          <w:tcPr>
            <w:tcW w:w="1152" w:type="dxa"/>
            <w:noWrap/>
            <w:vAlign w:val="center"/>
          </w:tcPr>
          <w:p>
            <w:pPr>
              <w:spacing w:line="360" w:lineRule="auto"/>
              <w:jc w:val="center"/>
              <w:rPr>
                <w:rFonts w:hint="eastAsia" w:ascii="仿宋" w:hAnsi="仿宋" w:eastAsia="仿宋" w:cs="仿宋"/>
                <w:color w:val="auto"/>
                <w:szCs w:val="22"/>
                <w:highlight w:val="none"/>
              </w:rPr>
            </w:pPr>
          </w:p>
        </w:tc>
        <w:tc>
          <w:tcPr>
            <w:tcW w:w="945" w:type="dxa"/>
            <w:noWrap/>
            <w:vAlign w:val="center"/>
          </w:tcPr>
          <w:p>
            <w:pPr>
              <w:spacing w:line="360" w:lineRule="auto"/>
              <w:jc w:val="center"/>
              <w:rPr>
                <w:rFonts w:hint="eastAsia" w:ascii="仿宋" w:hAnsi="仿宋" w:eastAsia="仿宋" w:cs="仿宋"/>
                <w:color w:val="auto"/>
                <w:szCs w:val="22"/>
                <w:highlight w:val="none"/>
              </w:rPr>
            </w:pPr>
          </w:p>
        </w:tc>
        <w:tc>
          <w:tcPr>
            <w:tcW w:w="840" w:type="dxa"/>
            <w:noWrap/>
            <w:vAlign w:val="center"/>
          </w:tcPr>
          <w:p>
            <w:pPr>
              <w:spacing w:line="360" w:lineRule="auto"/>
              <w:jc w:val="center"/>
              <w:rPr>
                <w:rFonts w:hint="eastAsia" w:ascii="仿宋" w:hAnsi="仿宋" w:eastAsia="仿宋" w:cs="仿宋"/>
                <w:color w:val="auto"/>
                <w:szCs w:val="22"/>
                <w:highlight w:val="none"/>
              </w:rPr>
            </w:pPr>
          </w:p>
        </w:tc>
        <w:tc>
          <w:tcPr>
            <w:tcW w:w="822" w:type="dxa"/>
            <w:noWrap/>
            <w:vAlign w:val="center"/>
          </w:tcPr>
          <w:p>
            <w:pPr>
              <w:spacing w:line="360" w:lineRule="auto"/>
              <w:jc w:val="center"/>
              <w:rPr>
                <w:rFonts w:hint="eastAsia" w:ascii="仿宋" w:hAnsi="仿宋" w:eastAsia="仿宋" w:cs="仿宋"/>
                <w:color w:val="auto"/>
                <w:szCs w:val="22"/>
                <w:highlight w:val="none"/>
              </w:rPr>
            </w:pPr>
          </w:p>
        </w:tc>
        <w:tc>
          <w:tcPr>
            <w:tcW w:w="1581" w:type="dxa"/>
            <w:noWrap/>
            <w:vAlign w:val="center"/>
          </w:tcPr>
          <w:p>
            <w:pPr>
              <w:spacing w:line="360" w:lineRule="auto"/>
              <w:jc w:val="center"/>
              <w:rPr>
                <w:rFonts w:hint="eastAsia" w:ascii="仿宋" w:hAnsi="仿宋" w:eastAsia="仿宋" w:cs="仿宋"/>
                <w:color w:val="auto"/>
                <w:szCs w:val="22"/>
                <w:highlight w:val="none"/>
              </w:rPr>
            </w:pPr>
          </w:p>
        </w:tc>
        <w:tc>
          <w:tcPr>
            <w:tcW w:w="1470" w:type="dxa"/>
            <w:noWrap/>
            <w:vAlign w:val="center"/>
          </w:tcPr>
          <w:p>
            <w:pPr>
              <w:spacing w:line="360" w:lineRule="auto"/>
              <w:jc w:val="center"/>
              <w:rPr>
                <w:rFonts w:hint="eastAsia" w:ascii="仿宋" w:hAnsi="仿宋" w:eastAsia="仿宋" w:cs="仿宋"/>
                <w:color w:val="auto"/>
                <w:szCs w:val="22"/>
                <w:highlight w:val="none"/>
              </w:rPr>
            </w:pPr>
          </w:p>
        </w:tc>
        <w:tc>
          <w:tcPr>
            <w:tcW w:w="1013" w:type="dxa"/>
            <w:noWrap/>
            <w:vAlign w:val="center"/>
          </w:tcPr>
          <w:p>
            <w:pPr>
              <w:spacing w:line="360" w:lineRule="auto"/>
              <w:jc w:val="center"/>
              <w:rPr>
                <w:rFonts w:hint="eastAsia" w:ascii="仿宋" w:hAnsi="仿宋" w:eastAsia="仿宋" w:cs="仿宋"/>
                <w:color w:val="auto"/>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41" w:type="dxa"/>
            <w:noWrap/>
            <w:vAlign w:val="center"/>
          </w:tcPr>
          <w:p>
            <w:pPr>
              <w:spacing w:line="360" w:lineRule="auto"/>
              <w:jc w:val="center"/>
              <w:rPr>
                <w:rFonts w:hint="eastAsia" w:ascii="仿宋" w:hAnsi="仿宋" w:eastAsia="仿宋" w:cs="仿宋"/>
                <w:color w:val="auto"/>
                <w:szCs w:val="22"/>
                <w:highlight w:val="none"/>
              </w:rPr>
            </w:pPr>
          </w:p>
        </w:tc>
        <w:tc>
          <w:tcPr>
            <w:tcW w:w="1446" w:type="dxa"/>
            <w:noWrap/>
            <w:vAlign w:val="center"/>
          </w:tcPr>
          <w:p>
            <w:pPr>
              <w:spacing w:line="360" w:lineRule="auto"/>
              <w:ind w:firstLine="315"/>
              <w:rPr>
                <w:rFonts w:hint="eastAsia" w:ascii="仿宋" w:hAnsi="仿宋" w:eastAsia="仿宋" w:cs="仿宋"/>
                <w:color w:val="auto"/>
                <w:szCs w:val="22"/>
                <w:highlight w:val="none"/>
              </w:rPr>
            </w:pPr>
          </w:p>
        </w:tc>
        <w:tc>
          <w:tcPr>
            <w:tcW w:w="1152" w:type="dxa"/>
            <w:noWrap/>
            <w:vAlign w:val="center"/>
          </w:tcPr>
          <w:p>
            <w:pPr>
              <w:spacing w:line="360" w:lineRule="auto"/>
              <w:jc w:val="center"/>
              <w:rPr>
                <w:rFonts w:hint="eastAsia" w:ascii="仿宋" w:hAnsi="仿宋" w:eastAsia="仿宋" w:cs="仿宋"/>
                <w:color w:val="auto"/>
                <w:szCs w:val="22"/>
                <w:highlight w:val="none"/>
              </w:rPr>
            </w:pPr>
          </w:p>
        </w:tc>
        <w:tc>
          <w:tcPr>
            <w:tcW w:w="945" w:type="dxa"/>
            <w:noWrap/>
            <w:vAlign w:val="center"/>
          </w:tcPr>
          <w:p>
            <w:pPr>
              <w:spacing w:line="360" w:lineRule="auto"/>
              <w:jc w:val="center"/>
              <w:rPr>
                <w:rFonts w:hint="eastAsia" w:ascii="仿宋" w:hAnsi="仿宋" w:eastAsia="仿宋" w:cs="仿宋"/>
                <w:color w:val="auto"/>
                <w:szCs w:val="22"/>
                <w:highlight w:val="none"/>
              </w:rPr>
            </w:pPr>
          </w:p>
        </w:tc>
        <w:tc>
          <w:tcPr>
            <w:tcW w:w="840" w:type="dxa"/>
            <w:noWrap/>
            <w:vAlign w:val="center"/>
          </w:tcPr>
          <w:p>
            <w:pPr>
              <w:spacing w:line="360" w:lineRule="auto"/>
              <w:jc w:val="center"/>
              <w:rPr>
                <w:rFonts w:hint="eastAsia" w:ascii="仿宋" w:hAnsi="仿宋" w:eastAsia="仿宋" w:cs="仿宋"/>
                <w:color w:val="auto"/>
                <w:szCs w:val="22"/>
                <w:highlight w:val="none"/>
              </w:rPr>
            </w:pPr>
          </w:p>
        </w:tc>
        <w:tc>
          <w:tcPr>
            <w:tcW w:w="822" w:type="dxa"/>
            <w:noWrap/>
            <w:vAlign w:val="center"/>
          </w:tcPr>
          <w:p>
            <w:pPr>
              <w:spacing w:line="360" w:lineRule="auto"/>
              <w:jc w:val="center"/>
              <w:rPr>
                <w:rFonts w:hint="eastAsia" w:ascii="仿宋" w:hAnsi="仿宋" w:eastAsia="仿宋" w:cs="仿宋"/>
                <w:color w:val="auto"/>
                <w:szCs w:val="22"/>
                <w:highlight w:val="none"/>
              </w:rPr>
            </w:pPr>
          </w:p>
        </w:tc>
        <w:tc>
          <w:tcPr>
            <w:tcW w:w="1581" w:type="dxa"/>
            <w:noWrap/>
            <w:vAlign w:val="center"/>
          </w:tcPr>
          <w:p>
            <w:pPr>
              <w:spacing w:line="360" w:lineRule="auto"/>
              <w:jc w:val="center"/>
              <w:rPr>
                <w:rFonts w:hint="eastAsia" w:ascii="仿宋" w:hAnsi="仿宋" w:eastAsia="仿宋" w:cs="仿宋"/>
                <w:color w:val="auto"/>
                <w:szCs w:val="22"/>
                <w:highlight w:val="none"/>
              </w:rPr>
            </w:pPr>
          </w:p>
        </w:tc>
        <w:tc>
          <w:tcPr>
            <w:tcW w:w="1470" w:type="dxa"/>
            <w:noWrap/>
            <w:vAlign w:val="center"/>
          </w:tcPr>
          <w:p>
            <w:pPr>
              <w:spacing w:line="360" w:lineRule="auto"/>
              <w:jc w:val="center"/>
              <w:rPr>
                <w:rFonts w:hint="eastAsia" w:ascii="仿宋" w:hAnsi="仿宋" w:eastAsia="仿宋" w:cs="仿宋"/>
                <w:color w:val="auto"/>
                <w:szCs w:val="22"/>
                <w:highlight w:val="none"/>
              </w:rPr>
            </w:pPr>
          </w:p>
        </w:tc>
        <w:tc>
          <w:tcPr>
            <w:tcW w:w="1013" w:type="dxa"/>
            <w:noWrap/>
            <w:vAlign w:val="center"/>
          </w:tcPr>
          <w:p>
            <w:pPr>
              <w:spacing w:line="360" w:lineRule="auto"/>
              <w:jc w:val="center"/>
              <w:rPr>
                <w:rFonts w:hint="eastAsia" w:ascii="仿宋" w:hAnsi="仿宋" w:eastAsia="仿宋" w:cs="仿宋"/>
                <w:color w:val="auto"/>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41" w:type="dxa"/>
            <w:noWrap/>
            <w:vAlign w:val="center"/>
          </w:tcPr>
          <w:p>
            <w:pPr>
              <w:spacing w:line="360" w:lineRule="auto"/>
              <w:jc w:val="center"/>
              <w:rPr>
                <w:rFonts w:hint="eastAsia" w:ascii="仿宋" w:hAnsi="仿宋" w:eastAsia="仿宋" w:cs="仿宋"/>
                <w:color w:val="auto"/>
                <w:szCs w:val="22"/>
                <w:highlight w:val="none"/>
              </w:rPr>
            </w:pPr>
          </w:p>
        </w:tc>
        <w:tc>
          <w:tcPr>
            <w:tcW w:w="1446" w:type="dxa"/>
            <w:noWrap/>
            <w:vAlign w:val="center"/>
          </w:tcPr>
          <w:p>
            <w:pPr>
              <w:spacing w:line="360" w:lineRule="auto"/>
              <w:ind w:firstLine="525"/>
              <w:rPr>
                <w:rFonts w:hint="eastAsia" w:ascii="仿宋" w:hAnsi="仿宋" w:eastAsia="仿宋" w:cs="仿宋"/>
                <w:color w:val="auto"/>
                <w:szCs w:val="22"/>
                <w:highlight w:val="none"/>
              </w:rPr>
            </w:pPr>
          </w:p>
        </w:tc>
        <w:tc>
          <w:tcPr>
            <w:tcW w:w="1152" w:type="dxa"/>
            <w:noWrap/>
            <w:vAlign w:val="center"/>
          </w:tcPr>
          <w:p>
            <w:pPr>
              <w:spacing w:line="360" w:lineRule="auto"/>
              <w:jc w:val="center"/>
              <w:rPr>
                <w:rFonts w:hint="eastAsia" w:ascii="仿宋" w:hAnsi="仿宋" w:eastAsia="仿宋" w:cs="仿宋"/>
                <w:color w:val="auto"/>
                <w:szCs w:val="22"/>
                <w:highlight w:val="none"/>
              </w:rPr>
            </w:pPr>
          </w:p>
        </w:tc>
        <w:tc>
          <w:tcPr>
            <w:tcW w:w="945" w:type="dxa"/>
            <w:noWrap/>
            <w:vAlign w:val="center"/>
          </w:tcPr>
          <w:p>
            <w:pPr>
              <w:spacing w:line="360" w:lineRule="auto"/>
              <w:jc w:val="center"/>
              <w:rPr>
                <w:rFonts w:hint="eastAsia" w:ascii="仿宋" w:hAnsi="仿宋" w:eastAsia="仿宋" w:cs="仿宋"/>
                <w:color w:val="auto"/>
                <w:szCs w:val="22"/>
                <w:highlight w:val="none"/>
              </w:rPr>
            </w:pPr>
          </w:p>
        </w:tc>
        <w:tc>
          <w:tcPr>
            <w:tcW w:w="840" w:type="dxa"/>
            <w:noWrap/>
            <w:vAlign w:val="center"/>
          </w:tcPr>
          <w:p>
            <w:pPr>
              <w:spacing w:line="360" w:lineRule="auto"/>
              <w:jc w:val="center"/>
              <w:rPr>
                <w:rFonts w:hint="eastAsia" w:ascii="仿宋" w:hAnsi="仿宋" w:eastAsia="仿宋" w:cs="仿宋"/>
                <w:color w:val="auto"/>
                <w:szCs w:val="22"/>
                <w:highlight w:val="none"/>
              </w:rPr>
            </w:pPr>
          </w:p>
        </w:tc>
        <w:tc>
          <w:tcPr>
            <w:tcW w:w="822" w:type="dxa"/>
            <w:noWrap/>
            <w:vAlign w:val="center"/>
          </w:tcPr>
          <w:p>
            <w:pPr>
              <w:spacing w:line="360" w:lineRule="auto"/>
              <w:jc w:val="center"/>
              <w:rPr>
                <w:rFonts w:hint="eastAsia" w:ascii="仿宋" w:hAnsi="仿宋" w:eastAsia="仿宋" w:cs="仿宋"/>
                <w:color w:val="auto"/>
                <w:szCs w:val="22"/>
                <w:highlight w:val="none"/>
              </w:rPr>
            </w:pPr>
          </w:p>
        </w:tc>
        <w:tc>
          <w:tcPr>
            <w:tcW w:w="1581" w:type="dxa"/>
            <w:noWrap/>
            <w:vAlign w:val="center"/>
          </w:tcPr>
          <w:p>
            <w:pPr>
              <w:spacing w:line="360" w:lineRule="auto"/>
              <w:jc w:val="center"/>
              <w:rPr>
                <w:rFonts w:hint="eastAsia" w:ascii="仿宋" w:hAnsi="仿宋" w:eastAsia="仿宋" w:cs="仿宋"/>
                <w:color w:val="auto"/>
                <w:szCs w:val="22"/>
                <w:highlight w:val="none"/>
              </w:rPr>
            </w:pPr>
          </w:p>
        </w:tc>
        <w:tc>
          <w:tcPr>
            <w:tcW w:w="1470" w:type="dxa"/>
            <w:noWrap/>
            <w:vAlign w:val="center"/>
          </w:tcPr>
          <w:p>
            <w:pPr>
              <w:spacing w:line="360" w:lineRule="auto"/>
              <w:jc w:val="center"/>
              <w:rPr>
                <w:rFonts w:hint="eastAsia" w:ascii="仿宋" w:hAnsi="仿宋" w:eastAsia="仿宋" w:cs="仿宋"/>
                <w:color w:val="auto"/>
                <w:szCs w:val="22"/>
                <w:highlight w:val="none"/>
              </w:rPr>
            </w:pPr>
          </w:p>
        </w:tc>
        <w:tc>
          <w:tcPr>
            <w:tcW w:w="1013" w:type="dxa"/>
            <w:noWrap/>
            <w:vAlign w:val="center"/>
          </w:tcPr>
          <w:p>
            <w:pPr>
              <w:spacing w:line="360" w:lineRule="auto"/>
              <w:jc w:val="center"/>
              <w:rPr>
                <w:rFonts w:hint="eastAsia" w:ascii="仿宋" w:hAnsi="仿宋" w:eastAsia="仿宋" w:cs="仿宋"/>
                <w:color w:val="auto"/>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41" w:type="dxa"/>
            <w:noWrap/>
            <w:vAlign w:val="center"/>
          </w:tcPr>
          <w:p>
            <w:pPr>
              <w:spacing w:line="360" w:lineRule="auto"/>
              <w:jc w:val="center"/>
              <w:rPr>
                <w:rFonts w:hint="eastAsia" w:ascii="仿宋" w:hAnsi="仿宋" w:eastAsia="仿宋" w:cs="仿宋"/>
                <w:color w:val="auto"/>
                <w:szCs w:val="22"/>
                <w:highlight w:val="none"/>
              </w:rPr>
            </w:pPr>
          </w:p>
        </w:tc>
        <w:tc>
          <w:tcPr>
            <w:tcW w:w="1446" w:type="dxa"/>
            <w:noWrap/>
            <w:vAlign w:val="center"/>
          </w:tcPr>
          <w:p>
            <w:pPr>
              <w:spacing w:line="360" w:lineRule="auto"/>
              <w:jc w:val="center"/>
              <w:rPr>
                <w:rFonts w:hint="eastAsia" w:ascii="仿宋" w:hAnsi="仿宋" w:eastAsia="仿宋" w:cs="仿宋"/>
                <w:color w:val="auto"/>
                <w:szCs w:val="22"/>
                <w:highlight w:val="none"/>
              </w:rPr>
            </w:pPr>
          </w:p>
        </w:tc>
        <w:tc>
          <w:tcPr>
            <w:tcW w:w="1152" w:type="dxa"/>
            <w:noWrap/>
            <w:vAlign w:val="center"/>
          </w:tcPr>
          <w:p>
            <w:pPr>
              <w:spacing w:line="360" w:lineRule="auto"/>
              <w:jc w:val="center"/>
              <w:rPr>
                <w:rFonts w:hint="eastAsia" w:ascii="仿宋" w:hAnsi="仿宋" w:eastAsia="仿宋" w:cs="仿宋"/>
                <w:color w:val="auto"/>
                <w:szCs w:val="22"/>
                <w:highlight w:val="none"/>
              </w:rPr>
            </w:pPr>
          </w:p>
        </w:tc>
        <w:tc>
          <w:tcPr>
            <w:tcW w:w="945" w:type="dxa"/>
            <w:noWrap/>
            <w:vAlign w:val="center"/>
          </w:tcPr>
          <w:p>
            <w:pPr>
              <w:spacing w:line="360" w:lineRule="auto"/>
              <w:jc w:val="center"/>
              <w:rPr>
                <w:rFonts w:hint="eastAsia" w:ascii="仿宋" w:hAnsi="仿宋" w:eastAsia="仿宋" w:cs="仿宋"/>
                <w:color w:val="auto"/>
                <w:szCs w:val="22"/>
                <w:highlight w:val="none"/>
              </w:rPr>
            </w:pPr>
          </w:p>
        </w:tc>
        <w:tc>
          <w:tcPr>
            <w:tcW w:w="840" w:type="dxa"/>
            <w:noWrap/>
            <w:vAlign w:val="center"/>
          </w:tcPr>
          <w:p>
            <w:pPr>
              <w:spacing w:line="360" w:lineRule="auto"/>
              <w:jc w:val="center"/>
              <w:rPr>
                <w:rFonts w:hint="eastAsia" w:ascii="仿宋" w:hAnsi="仿宋" w:eastAsia="仿宋" w:cs="仿宋"/>
                <w:color w:val="auto"/>
                <w:szCs w:val="22"/>
                <w:highlight w:val="none"/>
              </w:rPr>
            </w:pPr>
          </w:p>
        </w:tc>
        <w:tc>
          <w:tcPr>
            <w:tcW w:w="822" w:type="dxa"/>
            <w:noWrap/>
            <w:vAlign w:val="center"/>
          </w:tcPr>
          <w:p>
            <w:pPr>
              <w:spacing w:line="360" w:lineRule="auto"/>
              <w:jc w:val="center"/>
              <w:rPr>
                <w:rFonts w:hint="eastAsia" w:ascii="仿宋" w:hAnsi="仿宋" w:eastAsia="仿宋" w:cs="仿宋"/>
                <w:color w:val="auto"/>
                <w:szCs w:val="22"/>
                <w:highlight w:val="none"/>
              </w:rPr>
            </w:pPr>
          </w:p>
        </w:tc>
        <w:tc>
          <w:tcPr>
            <w:tcW w:w="1581" w:type="dxa"/>
            <w:noWrap/>
            <w:vAlign w:val="center"/>
          </w:tcPr>
          <w:p>
            <w:pPr>
              <w:spacing w:line="360" w:lineRule="auto"/>
              <w:jc w:val="center"/>
              <w:rPr>
                <w:rFonts w:hint="eastAsia" w:ascii="仿宋" w:hAnsi="仿宋" w:eastAsia="仿宋" w:cs="仿宋"/>
                <w:color w:val="auto"/>
                <w:szCs w:val="22"/>
                <w:highlight w:val="none"/>
              </w:rPr>
            </w:pPr>
          </w:p>
        </w:tc>
        <w:tc>
          <w:tcPr>
            <w:tcW w:w="1470" w:type="dxa"/>
            <w:noWrap/>
            <w:vAlign w:val="center"/>
          </w:tcPr>
          <w:p>
            <w:pPr>
              <w:spacing w:line="360" w:lineRule="auto"/>
              <w:jc w:val="center"/>
              <w:rPr>
                <w:rFonts w:hint="eastAsia" w:ascii="仿宋" w:hAnsi="仿宋" w:eastAsia="仿宋" w:cs="仿宋"/>
                <w:color w:val="auto"/>
                <w:szCs w:val="22"/>
                <w:highlight w:val="none"/>
              </w:rPr>
            </w:pPr>
          </w:p>
        </w:tc>
        <w:tc>
          <w:tcPr>
            <w:tcW w:w="1013" w:type="dxa"/>
            <w:noWrap/>
            <w:vAlign w:val="center"/>
          </w:tcPr>
          <w:p>
            <w:pPr>
              <w:spacing w:line="360" w:lineRule="auto"/>
              <w:jc w:val="center"/>
              <w:rPr>
                <w:rFonts w:hint="eastAsia" w:ascii="仿宋" w:hAnsi="仿宋" w:eastAsia="仿宋" w:cs="仿宋"/>
                <w:color w:val="auto"/>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41" w:type="dxa"/>
            <w:noWrap/>
            <w:vAlign w:val="center"/>
          </w:tcPr>
          <w:p>
            <w:pPr>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 …</w:t>
            </w:r>
          </w:p>
        </w:tc>
        <w:tc>
          <w:tcPr>
            <w:tcW w:w="1446" w:type="dxa"/>
            <w:noWrap/>
            <w:vAlign w:val="center"/>
          </w:tcPr>
          <w:p>
            <w:pPr>
              <w:spacing w:line="360" w:lineRule="auto"/>
              <w:ind w:firstLine="420"/>
              <w:rPr>
                <w:rFonts w:hint="eastAsia" w:ascii="仿宋" w:hAnsi="仿宋" w:eastAsia="仿宋" w:cs="仿宋"/>
                <w:color w:val="auto"/>
                <w:szCs w:val="22"/>
                <w:highlight w:val="none"/>
              </w:rPr>
            </w:pPr>
          </w:p>
        </w:tc>
        <w:tc>
          <w:tcPr>
            <w:tcW w:w="1152" w:type="dxa"/>
            <w:noWrap/>
            <w:vAlign w:val="center"/>
          </w:tcPr>
          <w:p>
            <w:pPr>
              <w:spacing w:line="360" w:lineRule="auto"/>
              <w:jc w:val="center"/>
              <w:rPr>
                <w:rFonts w:hint="eastAsia" w:ascii="仿宋" w:hAnsi="仿宋" w:eastAsia="仿宋" w:cs="仿宋"/>
                <w:color w:val="auto"/>
                <w:szCs w:val="22"/>
                <w:highlight w:val="none"/>
              </w:rPr>
            </w:pPr>
          </w:p>
        </w:tc>
        <w:tc>
          <w:tcPr>
            <w:tcW w:w="945" w:type="dxa"/>
            <w:noWrap/>
            <w:vAlign w:val="center"/>
          </w:tcPr>
          <w:p>
            <w:pPr>
              <w:spacing w:line="360" w:lineRule="auto"/>
              <w:jc w:val="center"/>
              <w:rPr>
                <w:rFonts w:hint="eastAsia" w:ascii="仿宋" w:hAnsi="仿宋" w:eastAsia="仿宋" w:cs="仿宋"/>
                <w:color w:val="auto"/>
                <w:szCs w:val="22"/>
                <w:highlight w:val="none"/>
              </w:rPr>
            </w:pPr>
          </w:p>
        </w:tc>
        <w:tc>
          <w:tcPr>
            <w:tcW w:w="840" w:type="dxa"/>
            <w:noWrap/>
            <w:vAlign w:val="center"/>
          </w:tcPr>
          <w:p>
            <w:pPr>
              <w:spacing w:line="360" w:lineRule="auto"/>
              <w:jc w:val="center"/>
              <w:rPr>
                <w:rFonts w:hint="eastAsia" w:ascii="仿宋" w:hAnsi="仿宋" w:eastAsia="仿宋" w:cs="仿宋"/>
                <w:color w:val="auto"/>
                <w:szCs w:val="22"/>
                <w:highlight w:val="none"/>
              </w:rPr>
            </w:pPr>
          </w:p>
        </w:tc>
        <w:tc>
          <w:tcPr>
            <w:tcW w:w="822" w:type="dxa"/>
            <w:noWrap/>
            <w:vAlign w:val="center"/>
          </w:tcPr>
          <w:p>
            <w:pPr>
              <w:spacing w:line="360" w:lineRule="auto"/>
              <w:jc w:val="center"/>
              <w:rPr>
                <w:rFonts w:hint="eastAsia" w:ascii="仿宋" w:hAnsi="仿宋" w:eastAsia="仿宋" w:cs="仿宋"/>
                <w:color w:val="auto"/>
                <w:szCs w:val="22"/>
                <w:highlight w:val="none"/>
              </w:rPr>
            </w:pPr>
          </w:p>
        </w:tc>
        <w:tc>
          <w:tcPr>
            <w:tcW w:w="1581" w:type="dxa"/>
            <w:noWrap/>
            <w:vAlign w:val="center"/>
          </w:tcPr>
          <w:p>
            <w:pPr>
              <w:spacing w:line="360" w:lineRule="auto"/>
              <w:jc w:val="center"/>
              <w:rPr>
                <w:rFonts w:hint="eastAsia" w:ascii="仿宋" w:hAnsi="仿宋" w:eastAsia="仿宋" w:cs="仿宋"/>
                <w:color w:val="auto"/>
                <w:szCs w:val="22"/>
                <w:highlight w:val="none"/>
              </w:rPr>
            </w:pPr>
          </w:p>
        </w:tc>
        <w:tc>
          <w:tcPr>
            <w:tcW w:w="1470" w:type="dxa"/>
            <w:noWrap/>
            <w:vAlign w:val="center"/>
          </w:tcPr>
          <w:p>
            <w:pPr>
              <w:spacing w:line="360" w:lineRule="auto"/>
              <w:jc w:val="center"/>
              <w:rPr>
                <w:rFonts w:hint="eastAsia" w:ascii="仿宋" w:hAnsi="仿宋" w:eastAsia="仿宋" w:cs="仿宋"/>
                <w:color w:val="auto"/>
                <w:szCs w:val="22"/>
                <w:highlight w:val="none"/>
              </w:rPr>
            </w:pPr>
          </w:p>
        </w:tc>
        <w:tc>
          <w:tcPr>
            <w:tcW w:w="1013" w:type="dxa"/>
            <w:noWrap/>
            <w:vAlign w:val="center"/>
          </w:tcPr>
          <w:p>
            <w:pPr>
              <w:spacing w:line="360" w:lineRule="auto"/>
              <w:jc w:val="center"/>
              <w:rPr>
                <w:rFonts w:hint="eastAsia" w:ascii="仿宋" w:hAnsi="仿宋" w:eastAsia="仿宋" w:cs="仿宋"/>
                <w:color w:val="auto"/>
                <w:szCs w:val="22"/>
                <w:highlight w:val="none"/>
              </w:rPr>
            </w:pPr>
          </w:p>
        </w:tc>
      </w:tr>
    </w:tbl>
    <w:p>
      <w:pP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法定代表人或其授权代表（签字或盖章）：</w:t>
      </w:r>
    </w:p>
    <w:p>
      <w:pPr>
        <w:widowControl w:val="0"/>
        <w:spacing w:line="360" w:lineRule="auto"/>
        <w:jc w:val="left"/>
        <w:rPr>
          <w:rFonts w:hint="eastAsia" w:ascii="仿宋" w:hAnsi="仿宋" w:eastAsia="仿宋" w:cs="仿宋"/>
          <w:color w:val="auto"/>
          <w:sz w:val="21"/>
          <w:szCs w:val="21"/>
          <w:highlight w:val="none"/>
          <w:lang w:val="en-US" w:eastAsia="zh-CN" w:bidi="ar-SA"/>
        </w:rPr>
      </w:pPr>
    </w:p>
    <w:p>
      <w:pPr>
        <w:widowControl w:val="0"/>
        <w:spacing w:line="360" w:lineRule="auto"/>
        <w:jc w:val="left"/>
        <w:rPr>
          <w:rFonts w:hint="eastAsia" w:ascii="仿宋" w:hAnsi="仿宋" w:eastAsia="仿宋" w:cs="仿宋"/>
          <w:bCs/>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注：1、</w:t>
      </w:r>
      <w:r>
        <w:rPr>
          <w:rFonts w:hint="eastAsia" w:ascii="仿宋" w:hAnsi="仿宋" w:eastAsia="仿宋" w:cs="仿宋"/>
          <w:bCs/>
          <w:color w:val="auto"/>
          <w:sz w:val="21"/>
          <w:szCs w:val="21"/>
          <w:highlight w:val="none"/>
          <w:lang w:val="en-US" w:eastAsia="zh-CN" w:bidi="ar-SA"/>
        </w:rPr>
        <w:t>上表可自行延长。</w:t>
      </w:r>
    </w:p>
    <w:p>
      <w:pPr>
        <w:widowControl w:val="0"/>
        <w:spacing w:line="360" w:lineRule="auto"/>
        <w:ind w:firstLine="420"/>
        <w:jc w:val="lef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2.请附人员相关证明材料复印件</w:t>
      </w:r>
      <w:r>
        <w:rPr>
          <w:rFonts w:hint="eastAsia" w:ascii="仿宋" w:hAnsi="仿宋" w:eastAsia="仿宋" w:cs="仿宋"/>
          <w:bCs/>
          <w:color w:val="auto"/>
          <w:sz w:val="21"/>
          <w:szCs w:val="21"/>
          <w:highlight w:val="none"/>
          <w:lang w:val="en-US" w:eastAsia="zh-CN" w:bidi="ar-SA"/>
        </w:rPr>
        <w:t>。</w:t>
      </w:r>
    </w:p>
    <w:p>
      <w:pPr>
        <w:spacing w:line="360" w:lineRule="auto"/>
        <w:rPr>
          <w:rFonts w:hint="eastAsia" w:ascii="仿宋" w:hAnsi="仿宋" w:eastAsia="仿宋" w:cs="仿宋"/>
          <w:bCs/>
          <w:color w:val="auto"/>
          <w:sz w:val="32"/>
          <w:szCs w:val="22"/>
          <w:highlight w:val="none"/>
        </w:rPr>
      </w:pPr>
    </w:p>
    <w:p>
      <w:pPr>
        <w:spacing w:line="400" w:lineRule="exact"/>
        <w:jc w:val="both"/>
        <w:rPr>
          <w:rFonts w:hint="eastAsia" w:ascii="仿宋" w:hAnsi="仿宋" w:eastAsia="仿宋" w:cs="仿宋"/>
          <w:b/>
          <w:bCs/>
          <w:color w:val="auto"/>
          <w:sz w:val="24"/>
          <w:szCs w:val="24"/>
          <w:highlight w:val="none"/>
        </w:rPr>
      </w:pPr>
    </w:p>
    <w:p>
      <w:pPr>
        <w:pStyle w:val="215"/>
        <w:rPr>
          <w:rFonts w:hint="eastAsia" w:ascii="仿宋" w:hAnsi="仿宋" w:eastAsia="仿宋" w:cs="仿宋"/>
          <w:b/>
          <w:bCs/>
          <w:color w:val="auto"/>
          <w:sz w:val="28"/>
          <w:szCs w:val="28"/>
          <w:highlight w:val="none"/>
          <w:lang w:val="en-US" w:eastAsia="zh-CN" w:bidi="ar-SA"/>
        </w:rPr>
      </w:pPr>
    </w:p>
    <w:p>
      <w:pPr>
        <w:widowControl w:val="0"/>
        <w:numPr>
          <w:ilvl w:val="0"/>
          <w:numId w:val="0"/>
        </w:numPr>
        <w:spacing w:line="360" w:lineRule="auto"/>
        <w:ind w:left="840" w:hanging="420"/>
        <w:jc w:val="center"/>
        <w:rPr>
          <w:rFonts w:hint="eastAsia" w:ascii="仿宋" w:hAnsi="仿宋" w:eastAsia="仿宋" w:cs="仿宋"/>
          <w:bCs/>
          <w:color w:val="auto"/>
          <w:sz w:val="24"/>
          <w:szCs w:val="24"/>
          <w:highlight w:val="none"/>
          <w:lang w:val="en-US" w:eastAsia="zh-CN" w:bidi="ar-SA"/>
        </w:rPr>
      </w:pPr>
      <w:r>
        <w:rPr>
          <w:rFonts w:hint="eastAsia" w:ascii="仿宋" w:hAnsi="仿宋" w:eastAsia="仿宋" w:cs="仿宋"/>
          <w:b/>
          <w:bCs/>
          <w:color w:val="auto"/>
          <w:sz w:val="28"/>
          <w:szCs w:val="28"/>
          <w:highlight w:val="none"/>
          <w:lang w:val="en-US" w:eastAsia="zh-CN" w:bidi="ar-SA"/>
        </w:rPr>
        <w:br w:type="page" w:clear="all"/>
      </w:r>
      <w:r>
        <w:rPr>
          <w:rFonts w:hint="eastAsia" w:ascii="仿宋" w:hAnsi="仿宋" w:eastAsia="仿宋" w:cs="仿宋"/>
          <w:b/>
          <w:bCs/>
          <w:color w:val="auto"/>
          <w:sz w:val="28"/>
          <w:szCs w:val="28"/>
          <w:highlight w:val="none"/>
          <w:lang w:val="en-US" w:eastAsia="zh-CN" w:bidi="ar-SA"/>
        </w:rPr>
        <w:t>（2）拟派项目负责人简历表</w:t>
      </w:r>
      <w:r>
        <w:rPr>
          <w:rFonts w:hint="eastAsia" w:ascii="仿宋" w:hAnsi="仿宋" w:eastAsia="仿宋" w:cs="仿宋"/>
          <w:bCs/>
          <w:color w:val="auto"/>
          <w:sz w:val="24"/>
          <w:szCs w:val="24"/>
          <w:highlight w:val="none"/>
          <w:lang w:val="en-US" w:eastAsia="zh-CN" w:bidi="ar-SA"/>
        </w:rPr>
        <w:t xml:space="preserve">                </w:t>
      </w:r>
    </w:p>
    <w:p>
      <w:pPr>
        <w:widowControl w:val="0"/>
        <w:numPr>
          <w:ilvl w:val="0"/>
          <w:numId w:val="0"/>
        </w:numPr>
        <w:spacing w:line="360" w:lineRule="auto"/>
        <w:ind w:left="420"/>
        <w:jc w:val="both"/>
        <w:rPr>
          <w:rFonts w:hint="eastAsia" w:ascii="仿宋" w:hAnsi="仿宋" w:eastAsia="仿宋" w:cs="仿宋"/>
          <w:b/>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政府采购编号：       </w:t>
      </w:r>
    </w:p>
    <w:tbl>
      <w:tblPr>
        <w:tblStyle w:val="3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17"/>
        <w:gridCol w:w="1714"/>
        <w:gridCol w:w="2217"/>
        <w:gridCol w:w="1003"/>
        <w:gridCol w:w="1161"/>
        <w:gridCol w:w="21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17" w:type="dxa"/>
            <w:noWrap/>
            <w:vAlign w:val="center"/>
          </w:tcPr>
          <w:p>
            <w:pPr>
              <w:widowControl/>
              <w:ind w:firstLine="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1714" w:type="dxa"/>
            <w:noWrap/>
            <w:vAlign w:val="center"/>
          </w:tcPr>
          <w:p>
            <w:pPr>
              <w:spacing w:line="500" w:lineRule="exact"/>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姓名</w:t>
            </w:r>
          </w:p>
        </w:tc>
        <w:tc>
          <w:tcPr>
            <w:tcW w:w="2217" w:type="dxa"/>
            <w:noWrap/>
            <w:vAlign w:val="center"/>
          </w:tcPr>
          <w:p>
            <w:pPr>
              <w:spacing w:line="500" w:lineRule="exact"/>
              <w:jc w:val="center"/>
              <w:rPr>
                <w:rFonts w:hint="eastAsia" w:ascii="仿宋" w:hAnsi="仿宋" w:eastAsia="仿宋" w:cs="仿宋"/>
                <w:color w:val="auto"/>
                <w:sz w:val="24"/>
                <w:szCs w:val="22"/>
                <w:highlight w:val="none"/>
              </w:rPr>
            </w:pPr>
          </w:p>
        </w:tc>
        <w:tc>
          <w:tcPr>
            <w:tcW w:w="1003" w:type="dxa"/>
            <w:noWrap/>
            <w:vAlign w:val="center"/>
          </w:tcPr>
          <w:p>
            <w:pPr>
              <w:spacing w:line="500" w:lineRule="exact"/>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性别</w:t>
            </w:r>
          </w:p>
        </w:tc>
        <w:tc>
          <w:tcPr>
            <w:tcW w:w="3346" w:type="dxa"/>
            <w:gridSpan w:val="2"/>
            <w:noWrap/>
            <w:vAlign w:val="center"/>
          </w:tcPr>
          <w:p>
            <w:pPr>
              <w:spacing w:line="500" w:lineRule="exact"/>
              <w:jc w:val="center"/>
              <w:rPr>
                <w:rFonts w:hint="eastAsia" w:ascii="仿宋" w:hAnsi="仿宋" w:eastAsia="仿宋" w:cs="仿宋"/>
                <w:color w:val="auto"/>
                <w:sz w:val="24"/>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17" w:type="dxa"/>
            <w:noWrap/>
            <w:vAlign w:val="center"/>
          </w:tcPr>
          <w:p>
            <w:pPr>
              <w:widowControl/>
              <w:ind w:firstLine="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2</w:t>
            </w:r>
          </w:p>
        </w:tc>
        <w:tc>
          <w:tcPr>
            <w:tcW w:w="1714" w:type="dxa"/>
            <w:noWrap/>
            <w:vAlign w:val="center"/>
          </w:tcPr>
          <w:p>
            <w:pPr>
              <w:spacing w:line="500" w:lineRule="exact"/>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身份证号码</w:t>
            </w:r>
          </w:p>
        </w:tc>
        <w:tc>
          <w:tcPr>
            <w:tcW w:w="3220" w:type="dxa"/>
            <w:gridSpan w:val="2"/>
            <w:noWrap/>
            <w:vAlign w:val="center"/>
          </w:tcPr>
          <w:p>
            <w:pPr>
              <w:spacing w:line="500" w:lineRule="exact"/>
              <w:jc w:val="center"/>
              <w:rPr>
                <w:rFonts w:hint="eastAsia" w:ascii="仿宋" w:hAnsi="仿宋" w:eastAsia="仿宋" w:cs="仿宋"/>
                <w:color w:val="auto"/>
                <w:sz w:val="24"/>
                <w:szCs w:val="22"/>
                <w:highlight w:val="none"/>
              </w:rPr>
            </w:pPr>
          </w:p>
        </w:tc>
        <w:tc>
          <w:tcPr>
            <w:tcW w:w="1161" w:type="dxa"/>
            <w:noWrap/>
            <w:vAlign w:val="center"/>
          </w:tcPr>
          <w:p>
            <w:pPr>
              <w:spacing w:line="500" w:lineRule="exact"/>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出生年月</w:t>
            </w:r>
          </w:p>
        </w:tc>
        <w:tc>
          <w:tcPr>
            <w:tcW w:w="2185" w:type="dxa"/>
            <w:noWrap/>
            <w:vAlign w:val="center"/>
          </w:tcPr>
          <w:p>
            <w:pPr>
              <w:spacing w:line="500" w:lineRule="exact"/>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年月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17" w:type="dxa"/>
            <w:noWrap/>
            <w:vAlign w:val="center"/>
          </w:tcPr>
          <w:p>
            <w:pPr>
              <w:widowControl/>
              <w:ind w:firstLine="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3</w:t>
            </w:r>
          </w:p>
        </w:tc>
        <w:tc>
          <w:tcPr>
            <w:tcW w:w="8280" w:type="dxa"/>
            <w:gridSpan w:val="5"/>
            <w:noWrap/>
            <w:vAlign w:val="center"/>
          </w:tcPr>
          <w:p>
            <w:pPr>
              <w:spacing w:line="500" w:lineRule="exact"/>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联系电话/传真：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17" w:type="dxa"/>
            <w:noWrap/>
            <w:vAlign w:val="center"/>
          </w:tcPr>
          <w:p>
            <w:pPr>
              <w:widowControl/>
              <w:ind w:firstLine="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4</w:t>
            </w:r>
          </w:p>
        </w:tc>
        <w:tc>
          <w:tcPr>
            <w:tcW w:w="8280" w:type="dxa"/>
            <w:gridSpan w:val="5"/>
            <w:noWrap/>
            <w:vAlign w:val="top"/>
          </w:tcPr>
          <w:p>
            <w:pPr>
              <w:spacing w:line="500" w:lineRule="exact"/>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从事本项工作时间及工作经历：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17" w:type="dxa"/>
            <w:noWrap/>
            <w:vAlign w:val="center"/>
          </w:tcPr>
          <w:p>
            <w:pPr>
              <w:widowControl/>
              <w:ind w:firstLine="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5</w:t>
            </w:r>
          </w:p>
        </w:tc>
        <w:tc>
          <w:tcPr>
            <w:tcW w:w="8280" w:type="dxa"/>
            <w:gridSpan w:val="5"/>
            <w:noWrap/>
            <w:vAlign w:val="center"/>
          </w:tcPr>
          <w:p>
            <w:pPr>
              <w:spacing w:line="500" w:lineRule="exact"/>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拥有关于本项服务方面的职称：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17" w:type="dxa"/>
            <w:noWrap/>
            <w:vAlign w:val="center"/>
          </w:tcPr>
          <w:p>
            <w:pPr>
              <w:spacing w:line="360" w:lineRule="auto"/>
              <w:ind w:left="-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c>
          <w:tcPr>
            <w:tcW w:w="8280" w:type="dxa"/>
            <w:gridSpan w:val="5"/>
            <w:noWrap/>
            <w:vAlign w:val="center"/>
          </w:tcPr>
          <w:p>
            <w:pPr>
              <w:spacing w:line="500" w:lineRule="exact"/>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曾获得的关于本项服务方面的奖励情况：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17" w:type="dxa"/>
            <w:noWrap/>
            <w:vAlign w:val="center"/>
          </w:tcPr>
          <w:p>
            <w:pPr>
              <w:spacing w:line="360" w:lineRule="auto"/>
              <w:ind w:left="-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p>
        </w:tc>
        <w:tc>
          <w:tcPr>
            <w:tcW w:w="8280" w:type="dxa"/>
            <w:gridSpan w:val="5"/>
            <w:noWrap/>
            <w:vAlign w:val="top"/>
          </w:tcPr>
          <w:p>
            <w:pPr>
              <w:spacing w:line="500" w:lineRule="exact"/>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近3年内负责的相关项目：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17" w:type="dxa"/>
            <w:noWrap/>
            <w:vAlign w:val="center"/>
          </w:tcPr>
          <w:p>
            <w:pPr>
              <w:spacing w:line="360" w:lineRule="auto"/>
              <w:ind w:left="-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8</w:t>
            </w:r>
          </w:p>
        </w:tc>
        <w:tc>
          <w:tcPr>
            <w:tcW w:w="8280" w:type="dxa"/>
            <w:gridSpan w:val="5"/>
            <w:noWrap/>
            <w:vAlign w:val="center"/>
          </w:tcPr>
          <w:p>
            <w:pPr>
              <w:spacing w:line="500" w:lineRule="exact"/>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其他需要说明的情况</w:t>
            </w:r>
          </w:p>
        </w:tc>
      </w:tr>
    </w:tbl>
    <w:p>
      <w:pPr>
        <w:spacing w:line="360" w:lineRule="auto"/>
        <w:outlineLvl w:val="0"/>
        <w:rPr>
          <w:rFonts w:hint="eastAsia" w:ascii="仿宋" w:hAnsi="仿宋" w:eastAsia="仿宋" w:cs="仿宋"/>
          <w:color w:val="auto"/>
          <w:sz w:val="24"/>
          <w:szCs w:val="22"/>
          <w:highlight w:val="none"/>
        </w:rPr>
      </w:pPr>
    </w:p>
    <w:p>
      <w:pPr>
        <w:spacing w:line="52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投标供应商：（公章）</w:t>
      </w:r>
    </w:p>
    <w:p>
      <w:pPr>
        <w:spacing w:line="52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法定代表人签名或盖章：</w:t>
      </w:r>
    </w:p>
    <w:p>
      <w:pPr>
        <w:spacing w:line="520" w:lineRule="exact"/>
        <w:ind w:firstLine="96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pPr>
        <w:pStyle w:val="215"/>
        <w:rPr>
          <w:rFonts w:hint="eastAsia" w:ascii="仿宋" w:hAnsi="仿宋" w:eastAsia="仿宋" w:cs="仿宋"/>
          <w:bCs/>
          <w:color w:val="auto"/>
          <w:sz w:val="24"/>
          <w:szCs w:val="24"/>
          <w:highlight w:val="none"/>
        </w:rPr>
      </w:pPr>
      <w:r>
        <w:rPr>
          <w:rFonts w:hint="eastAsia" w:ascii="仿宋" w:hAnsi="仿宋" w:eastAsia="仿宋" w:cs="仿宋"/>
          <w:b/>
          <w:bCs w:val="0"/>
          <w:color w:val="auto"/>
          <w:sz w:val="24"/>
          <w:highlight w:val="none"/>
        </w:rPr>
        <w:br w:type="page" w:clear="all"/>
      </w:r>
      <w:r>
        <w:rPr>
          <w:rFonts w:hint="eastAsia" w:ascii="仿宋" w:hAnsi="仿宋" w:eastAsia="仿宋" w:cs="仿宋"/>
          <w:bCs w:val="0"/>
          <w:color w:val="auto"/>
          <w:sz w:val="28"/>
          <w:szCs w:val="28"/>
          <w:highlight w:val="none"/>
          <w:lang w:val="en-US" w:eastAsia="zh-CN" w:bidi="ar-SA"/>
        </w:rPr>
        <w:t>（八）服务保障承诺书（格式）</w:t>
      </w:r>
    </w:p>
    <w:p>
      <w:pPr>
        <w:keepNext/>
        <w:keepLines/>
        <w:widowControl w:val="0"/>
        <w:numPr>
          <w:ilvl w:val="0"/>
          <w:numId w:val="0"/>
        </w:numPr>
        <w:spacing w:before="260" w:after="260" w:line="415" w:lineRule="auto"/>
        <w:jc w:val="left"/>
        <w:outlineLvl w:val="1"/>
        <w:rPr>
          <w:rFonts w:hint="eastAsia" w:ascii="仿宋" w:hAnsi="仿宋" w:eastAsia="仿宋" w:cs="仿宋"/>
          <w:bCs/>
          <w:color w:val="auto"/>
          <w:sz w:val="24"/>
          <w:szCs w:val="24"/>
          <w:highlight w:val="none"/>
          <w:lang w:eastAsia="zh-CN"/>
        </w:rPr>
      </w:pPr>
    </w:p>
    <w:p>
      <w:pPr>
        <w:spacing w:line="360" w:lineRule="auto"/>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服务保障承诺书</w:t>
      </w:r>
    </w:p>
    <w:p>
      <w:pPr>
        <w:spacing w:line="360" w:lineRule="auto"/>
        <w:jc w:val="left"/>
        <w:rPr>
          <w:rFonts w:hint="eastAsia" w:ascii="仿宋" w:hAnsi="仿宋" w:eastAsia="仿宋" w:cs="仿宋"/>
          <w:bCs/>
          <w:color w:val="auto"/>
          <w:sz w:val="28"/>
          <w:szCs w:val="28"/>
          <w:highlight w:val="none"/>
        </w:rPr>
      </w:pP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供应商名称）针对本次</w:t>
      </w:r>
      <w:r>
        <w:rPr>
          <w:rFonts w:hint="eastAsia" w:ascii="仿宋" w:hAnsi="仿宋" w:eastAsia="仿宋" w:cs="仿宋"/>
          <w:bCs/>
          <w:color w:val="auto"/>
          <w:sz w:val="24"/>
          <w:szCs w:val="22"/>
          <w:highlight w:val="none"/>
          <w:u w:val="single"/>
          <w:lang w:eastAsia="zh-CN"/>
        </w:rPr>
        <w:t>2026年城区大型转运站（南长、滨湖生活垃圾转运站）运行管理项目</w:t>
      </w:r>
      <w:r>
        <w:rPr>
          <w:rFonts w:hint="eastAsia" w:ascii="仿宋" w:hAnsi="仿宋" w:eastAsia="仿宋" w:cs="仿宋"/>
          <w:color w:val="auto"/>
          <w:sz w:val="24"/>
          <w:szCs w:val="24"/>
          <w:highlight w:val="none"/>
        </w:rPr>
        <w:t>在此承诺：</w:t>
      </w:r>
    </w:p>
    <w:p>
      <w:pPr>
        <w:spacing w:line="480" w:lineRule="auto"/>
        <w:ind w:firstLine="960"/>
        <w:rPr>
          <w:rFonts w:hint="eastAsia" w:ascii="仿宋" w:hAnsi="仿宋" w:eastAsia="仿宋" w:cs="仿宋"/>
          <w:bCs/>
          <w:color w:val="auto"/>
          <w:sz w:val="24"/>
          <w:szCs w:val="24"/>
          <w:highlight w:val="none"/>
        </w:rPr>
      </w:pPr>
    </w:p>
    <w:p>
      <w:pPr>
        <w:spacing w:line="480" w:lineRule="auto"/>
        <w:ind w:firstLine="960"/>
        <w:rPr>
          <w:rFonts w:hint="eastAsia" w:ascii="仿宋" w:hAnsi="仿宋" w:eastAsia="仿宋" w:cs="仿宋"/>
          <w:bCs/>
          <w:color w:val="auto"/>
          <w:sz w:val="24"/>
          <w:szCs w:val="24"/>
          <w:highlight w:val="none"/>
        </w:rPr>
      </w:pPr>
    </w:p>
    <w:p>
      <w:pPr>
        <w:spacing w:line="480" w:lineRule="auto"/>
        <w:ind w:firstLine="96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p>
    <w:p>
      <w:pPr>
        <w:spacing w:line="480" w:lineRule="auto"/>
        <w:ind w:firstLine="960"/>
        <w:rPr>
          <w:rFonts w:hint="eastAsia" w:ascii="仿宋" w:hAnsi="仿宋" w:eastAsia="仿宋" w:cs="仿宋"/>
          <w:bCs/>
          <w:color w:val="auto"/>
          <w:sz w:val="24"/>
          <w:szCs w:val="24"/>
          <w:highlight w:val="none"/>
        </w:rPr>
      </w:pPr>
    </w:p>
    <w:p>
      <w:pPr>
        <w:spacing w:line="480" w:lineRule="auto"/>
        <w:ind w:firstLine="960"/>
        <w:rPr>
          <w:rFonts w:hint="eastAsia" w:ascii="仿宋" w:hAnsi="仿宋" w:eastAsia="仿宋" w:cs="仿宋"/>
          <w:bCs/>
          <w:color w:val="auto"/>
          <w:sz w:val="24"/>
          <w:szCs w:val="24"/>
          <w:highlight w:val="none"/>
        </w:rPr>
      </w:pPr>
    </w:p>
    <w:p>
      <w:pPr>
        <w:spacing w:line="480" w:lineRule="auto"/>
        <w:ind w:firstLine="96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如违背上述承诺，本公司</w:t>
      </w:r>
      <w:r>
        <w:rPr>
          <w:rFonts w:hint="eastAsia" w:ascii="仿宋" w:hAnsi="仿宋" w:eastAsia="仿宋" w:cs="仿宋"/>
          <w:color w:val="auto"/>
          <w:sz w:val="24"/>
          <w:szCs w:val="24"/>
          <w:highlight w:val="none"/>
        </w:rPr>
        <w:t>（单位）</w:t>
      </w:r>
      <w:r>
        <w:rPr>
          <w:rFonts w:hint="eastAsia" w:ascii="仿宋" w:hAnsi="仿宋" w:eastAsia="仿宋" w:cs="仿宋"/>
          <w:bCs/>
          <w:color w:val="auto"/>
          <w:sz w:val="24"/>
          <w:szCs w:val="24"/>
          <w:highlight w:val="none"/>
        </w:rPr>
        <w:t>将承担一切法律责任。</w:t>
      </w:r>
    </w:p>
    <w:p>
      <w:pPr>
        <w:spacing w:line="480" w:lineRule="auto"/>
        <w:ind w:firstLine="3720"/>
        <w:rPr>
          <w:rFonts w:hint="eastAsia" w:ascii="仿宋" w:hAnsi="仿宋" w:eastAsia="仿宋" w:cs="仿宋"/>
          <w:color w:val="auto"/>
          <w:sz w:val="24"/>
          <w:szCs w:val="24"/>
          <w:highlight w:val="none"/>
        </w:rPr>
      </w:pPr>
    </w:p>
    <w:p>
      <w:pPr>
        <w:spacing w:line="480" w:lineRule="auto"/>
        <w:ind w:firstLine="3720"/>
        <w:rPr>
          <w:rFonts w:hint="eastAsia" w:ascii="仿宋" w:hAnsi="仿宋" w:eastAsia="仿宋" w:cs="仿宋"/>
          <w:color w:val="auto"/>
          <w:sz w:val="24"/>
          <w:szCs w:val="24"/>
          <w:highlight w:val="none"/>
        </w:rPr>
      </w:pPr>
    </w:p>
    <w:p>
      <w:pPr>
        <w:spacing w:line="480" w:lineRule="auto"/>
        <w:ind w:firstLine="372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供应商</w:t>
      </w:r>
      <w:r>
        <w:rPr>
          <w:rFonts w:hint="eastAsia" w:ascii="仿宋" w:hAnsi="仿宋" w:eastAsia="仿宋" w:cs="仿宋"/>
          <w:bCs/>
          <w:color w:val="auto"/>
          <w:sz w:val="24"/>
          <w:szCs w:val="24"/>
          <w:highlight w:val="none"/>
        </w:rPr>
        <w:t>（盖章）：</w:t>
      </w:r>
    </w:p>
    <w:p>
      <w:pPr>
        <w:spacing w:line="48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法定代表人或法定代表人授权代表签字或盖章：</w:t>
      </w:r>
    </w:p>
    <w:p>
      <w:pPr>
        <w:spacing w:line="480" w:lineRule="auto"/>
        <w:ind w:firstLine="420"/>
        <w:rPr>
          <w:rFonts w:hint="eastAsia" w:ascii="仿宋" w:hAnsi="仿宋" w:eastAsia="仿宋" w:cs="仿宋"/>
          <w:b/>
          <w:color w:val="auto"/>
          <w:szCs w:val="21"/>
          <w:highlight w:val="none"/>
        </w:rPr>
      </w:pPr>
    </w:p>
    <w:p>
      <w:pPr>
        <w:spacing w:line="480" w:lineRule="auto"/>
        <w:ind w:firstLine="42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注：以上内容由投标单位根据采购要求自行完善。</w:t>
      </w:r>
    </w:p>
    <w:p>
      <w:pPr>
        <w:widowControl w:val="0"/>
        <w:spacing w:after="120"/>
        <w:ind w:firstLine="0"/>
        <w:jc w:val="both"/>
        <w:rPr>
          <w:rFonts w:hint="eastAsia" w:ascii="仿宋" w:hAnsi="仿宋" w:eastAsia="仿宋" w:cs="仿宋"/>
          <w:b/>
          <w:bCs/>
          <w:color w:val="auto"/>
          <w:sz w:val="24"/>
          <w:szCs w:val="24"/>
          <w:highlight w:val="none"/>
          <w:lang w:val="en-US" w:eastAsia="zh-CN" w:bidi="ar-SA"/>
        </w:rPr>
      </w:pPr>
    </w:p>
    <w:p>
      <w:pPr>
        <w:widowControl w:val="0"/>
        <w:spacing w:after="120"/>
        <w:ind w:firstLine="0"/>
        <w:jc w:val="both"/>
        <w:rPr>
          <w:rFonts w:hint="eastAsia" w:ascii="仿宋" w:hAnsi="仿宋" w:eastAsia="仿宋" w:cs="仿宋"/>
          <w:b/>
          <w:bCs/>
          <w:color w:val="auto"/>
          <w:sz w:val="24"/>
          <w:szCs w:val="24"/>
          <w:highlight w:val="none"/>
          <w:lang w:val="en-US" w:eastAsia="zh-CN" w:bidi="ar-SA"/>
        </w:rPr>
      </w:pPr>
    </w:p>
    <w:p>
      <w:pPr>
        <w:keepNext/>
        <w:keepLines/>
        <w:spacing w:before="260" w:after="260" w:line="415" w:lineRule="auto"/>
        <w:jc w:val="left"/>
        <w:outlineLvl w:val="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九</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函（格式）</w:t>
      </w:r>
    </w:p>
    <w:p>
      <w:pPr>
        <w:ind w:firstLine="562"/>
        <w:jc w:val="center"/>
        <w:outlineLvl w:val="0"/>
        <w:rPr>
          <w:rFonts w:hint="eastAsia" w:ascii="仿宋" w:hAnsi="仿宋" w:eastAsia="仿宋" w:cs="仿宋"/>
          <w:b/>
          <w:bCs/>
          <w:color w:val="auto"/>
          <w:sz w:val="32"/>
          <w:szCs w:val="32"/>
          <w:highlight w:val="none"/>
        </w:rPr>
      </w:pPr>
      <w:bookmarkStart w:id="28" w:name="_Toc130"/>
      <w:r>
        <w:rPr>
          <w:rFonts w:hint="eastAsia" w:ascii="仿宋" w:hAnsi="仿宋" w:eastAsia="仿宋" w:cs="仿宋"/>
          <w:b/>
          <w:bCs/>
          <w:color w:val="auto"/>
          <w:sz w:val="32"/>
          <w:szCs w:val="32"/>
          <w:highlight w:val="none"/>
          <w:lang w:val="en-US" w:eastAsia="zh-CN"/>
        </w:rPr>
        <w:t>投 标 函</w:t>
      </w:r>
      <w:bookmarkEnd w:id="28"/>
    </w:p>
    <w:p>
      <w:pPr>
        <w:pStyle w:val="215"/>
        <w:rPr>
          <w:rFonts w:hint="eastAsia" w:ascii="仿宋" w:hAnsi="仿宋" w:eastAsia="仿宋" w:cs="仿宋"/>
          <w:color w:val="auto"/>
          <w:highlight w:val="none"/>
        </w:rPr>
      </w:pPr>
    </w:p>
    <w:p>
      <w:pPr>
        <w:widowControl/>
        <w:spacing w:before="4"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江苏通汇工程管理咨询有限公司</w:t>
      </w:r>
    </w:p>
    <w:p>
      <w:pPr>
        <w:widowControl/>
        <w:spacing w:line="360" w:lineRule="auto"/>
        <w:ind w:firstLine="48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我方收到贵方编号</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rPr>
        <w:t>招标文件，经仔细阅读和研究，我方决定参加此次项目的投标。</w:t>
      </w:r>
    </w:p>
    <w:p>
      <w:pPr>
        <w:tabs>
          <w:tab w:val="left" w:pos="315"/>
          <w:tab w:val="left" w:pos="840"/>
          <w:tab w:val="left" w:pos="945"/>
          <w:tab w:val="left" w:pos="1050"/>
          <w:tab w:val="left" w:pos="1260"/>
        </w:tabs>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一、我方愿意按照招标文件的一切要求，提供本项目的投标，投标总价见《开标一览表》。</w:t>
      </w:r>
    </w:p>
    <w:p>
      <w:pPr>
        <w:tabs>
          <w:tab w:val="left" w:pos="0"/>
          <w:tab w:val="left" w:pos="315"/>
          <w:tab w:val="left" w:pos="525"/>
          <w:tab w:val="left" w:pos="840"/>
          <w:tab w:val="left" w:pos="945"/>
          <w:tab w:val="left" w:pos="1050"/>
        </w:tabs>
        <w:spacing w:line="360" w:lineRule="auto"/>
        <w:ind w:firstLine="480"/>
        <w:rPr>
          <w:rFonts w:hint="eastAsia" w:ascii="仿宋" w:hAnsi="仿宋" w:eastAsia="仿宋" w:cs="仿宋"/>
          <w:bCs/>
          <w:color w:val="auto"/>
          <w:szCs w:val="22"/>
          <w:highlight w:val="none"/>
        </w:rPr>
      </w:pPr>
      <w:r>
        <w:rPr>
          <w:rFonts w:hint="eastAsia" w:ascii="仿宋" w:hAnsi="仿宋" w:eastAsia="仿宋" w:cs="仿宋"/>
          <w:bCs/>
          <w:color w:val="auto"/>
          <w:sz w:val="24"/>
          <w:szCs w:val="24"/>
          <w:highlight w:val="none"/>
        </w:rPr>
        <w:t>二、我方愿意提供</w:t>
      </w:r>
      <w:r>
        <w:rPr>
          <w:rFonts w:hint="eastAsia" w:ascii="仿宋" w:hAnsi="仿宋" w:eastAsia="仿宋" w:cs="仿宋"/>
          <w:bCs/>
          <w:color w:val="auto"/>
          <w:sz w:val="24"/>
          <w:szCs w:val="24"/>
          <w:highlight w:val="none"/>
          <w:lang w:eastAsia="zh-CN"/>
        </w:rPr>
        <w:t>江苏通汇工程管理咨询有限公司</w:t>
      </w:r>
      <w:r>
        <w:rPr>
          <w:rFonts w:hint="eastAsia" w:ascii="仿宋" w:hAnsi="仿宋" w:eastAsia="仿宋" w:cs="仿宋"/>
          <w:bCs/>
          <w:color w:val="auto"/>
          <w:sz w:val="24"/>
          <w:szCs w:val="24"/>
          <w:highlight w:val="none"/>
        </w:rPr>
        <w:t>在招标文件中要求的文件、资料。</w:t>
      </w:r>
    </w:p>
    <w:p>
      <w:pPr>
        <w:tabs>
          <w:tab w:val="left" w:pos="0"/>
          <w:tab w:val="left" w:pos="315"/>
          <w:tab w:val="left" w:pos="525"/>
          <w:tab w:val="left" w:pos="945"/>
          <w:tab w:val="left" w:pos="1050"/>
        </w:tabs>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三、我方同意按招标文件中的规定，本投标文件投标的有效期限为开标之日起90天。</w:t>
      </w:r>
    </w:p>
    <w:p>
      <w:pPr>
        <w:tabs>
          <w:tab w:val="left" w:pos="0"/>
          <w:tab w:val="left" w:pos="315"/>
          <w:tab w:val="left" w:pos="525"/>
          <w:tab w:val="left" w:pos="945"/>
          <w:tab w:val="left" w:pos="1050"/>
        </w:tabs>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四、如果我方的投标文件被接受，我方将履行招标文件中规定的每一项要求，按期、按质、按量，完成交货任务。</w:t>
      </w:r>
    </w:p>
    <w:p>
      <w:pPr>
        <w:tabs>
          <w:tab w:val="left" w:pos="0"/>
          <w:tab w:val="left" w:pos="315"/>
          <w:tab w:val="left" w:pos="525"/>
          <w:tab w:val="left" w:pos="945"/>
          <w:tab w:val="left" w:pos="1050"/>
        </w:tabs>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五、我方愿意遵守《中华人民共和国政府采购法》，并</w:t>
      </w:r>
      <w:r>
        <w:rPr>
          <w:rFonts w:hint="eastAsia" w:ascii="仿宋" w:hAnsi="仿宋" w:eastAsia="仿宋" w:cs="仿宋"/>
          <w:bCs/>
          <w:color w:val="auto"/>
          <w:sz w:val="24"/>
          <w:szCs w:val="24"/>
          <w:highlight w:val="none"/>
          <w:lang w:eastAsia="zh-CN"/>
        </w:rPr>
        <w:t>按照《中华人民共和国</w:t>
      </w:r>
      <w:r>
        <w:rPr>
          <w:rFonts w:hint="eastAsia" w:ascii="仿宋" w:hAnsi="仿宋" w:eastAsia="仿宋" w:cs="仿宋"/>
          <w:bCs/>
          <w:color w:val="auto"/>
          <w:sz w:val="24"/>
          <w:szCs w:val="24"/>
          <w:highlight w:val="none"/>
        </w:rPr>
        <w:t>民法典》、财政部《政府采购货物和服务招标投标管理办法》</w:t>
      </w:r>
      <w:r>
        <w:rPr>
          <w:rFonts w:hint="eastAsia" w:ascii="仿宋" w:hAnsi="仿宋" w:eastAsia="仿宋" w:cs="仿宋"/>
          <w:color w:val="auto"/>
          <w:sz w:val="24"/>
          <w:szCs w:val="24"/>
          <w:highlight w:val="none"/>
        </w:rPr>
        <w:t>和</w:t>
      </w:r>
      <w:r>
        <w:rPr>
          <w:rFonts w:hint="eastAsia" w:ascii="仿宋" w:hAnsi="仿宋" w:eastAsia="仿宋" w:cs="仿宋"/>
          <w:bCs/>
          <w:color w:val="auto"/>
          <w:sz w:val="24"/>
          <w:szCs w:val="24"/>
          <w:highlight w:val="none"/>
        </w:rPr>
        <w:t>合同条款履行自己的全部责任。</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六、我方愿意向贵方提供任何与本项报价有关的数据、情况和技术资料。若贵方需要，我方愿意提供我方做出的一切承诺的证明材料。</w:t>
      </w:r>
    </w:p>
    <w:p>
      <w:pPr>
        <w:spacing w:line="360" w:lineRule="auto"/>
        <w:ind w:firstLine="480"/>
        <w:rPr>
          <w:rFonts w:hint="eastAsia" w:ascii="仿宋" w:hAnsi="仿宋" w:eastAsia="仿宋" w:cs="仿宋"/>
          <w:color w:val="auto"/>
          <w:szCs w:val="22"/>
          <w:highlight w:val="none"/>
        </w:rPr>
      </w:pPr>
      <w:r>
        <w:rPr>
          <w:rFonts w:hint="eastAsia" w:ascii="仿宋" w:hAnsi="仿宋" w:eastAsia="仿宋" w:cs="仿宋"/>
          <w:bCs/>
          <w:color w:val="auto"/>
          <w:sz w:val="24"/>
          <w:szCs w:val="24"/>
          <w:highlight w:val="none"/>
        </w:rPr>
        <w:t>七、我方与其他供应商不存在单位负责人为同一人或者存在直接控股、管理关系。</w:t>
      </w:r>
    </w:p>
    <w:p>
      <w:pPr>
        <w:tabs>
          <w:tab w:val="left" w:pos="0"/>
          <w:tab w:val="left" w:pos="315"/>
          <w:tab w:val="left" w:pos="525"/>
          <w:tab w:val="left" w:pos="945"/>
          <w:tab w:val="left" w:pos="1050"/>
        </w:tabs>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八、我方认可并遵守招标文件的所有规定，放弃对招标文件提出质疑的权利。</w:t>
      </w:r>
    </w:p>
    <w:p>
      <w:pPr>
        <w:tabs>
          <w:tab w:val="left" w:pos="0"/>
          <w:tab w:val="left" w:pos="315"/>
          <w:tab w:val="left" w:pos="525"/>
          <w:tab w:val="left" w:pos="945"/>
          <w:tab w:val="left" w:pos="1050"/>
        </w:tabs>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2"/>
          <w:highlight w:val="none"/>
        </w:rPr>
        <w:t>九、如我方在投标截止期后撤回投标及中标后拒绝遵守投标承诺或拒绝在规定的时间内与采购人签订合同，则接受政府采购监督管理部门的处理。</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十一、我方承诺不非法转包、分包。</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十二、我方不存在为本项目提供整体设计、规范编制或者项目管理、监理、检测等服务。</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p>
    <w:p>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pPr>
        <w:tabs>
          <w:tab w:val="left" w:pos="0"/>
          <w:tab w:val="left" w:pos="315"/>
          <w:tab w:val="left" w:pos="525"/>
          <w:tab w:val="left" w:pos="945"/>
          <w:tab w:val="left" w:pos="1050"/>
        </w:tabs>
        <w:spacing w:line="360" w:lineRule="auto"/>
        <w:ind w:firstLine="480"/>
        <w:rPr>
          <w:rFonts w:hint="eastAsia" w:ascii="仿宋" w:hAnsi="仿宋" w:eastAsia="仿宋" w:cs="仿宋"/>
          <w:bCs/>
          <w:color w:val="auto"/>
          <w:sz w:val="24"/>
          <w:szCs w:val="24"/>
          <w:highlight w:val="none"/>
        </w:rPr>
      </w:pPr>
    </w:p>
    <w:p>
      <w:pPr>
        <w:spacing w:line="360" w:lineRule="auto"/>
        <w:ind w:firstLine="480"/>
        <w:rPr>
          <w:rFonts w:hint="eastAsia" w:ascii="仿宋" w:hAnsi="仿宋" w:eastAsia="仿宋" w:cs="仿宋"/>
          <w:bCs/>
          <w:color w:val="auto"/>
          <w:sz w:val="24"/>
          <w:szCs w:val="22"/>
          <w:highlight w:val="none"/>
        </w:rPr>
      </w:pPr>
      <w:r>
        <w:rPr>
          <w:rFonts w:hint="eastAsia" w:ascii="仿宋" w:hAnsi="仿宋" w:eastAsia="仿宋" w:cs="仿宋"/>
          <w:bCs/>
          <w:color w:val="auto"/>
          <w:sz w:val="24"/>
          <w:szCs w:val="24"/>
          <w:highlight w:val="none"/>
        </w:rPr>
        <w:t>以上条款，如有违反，愿依照国家相关法律处理，并承担由此给采购人带来的损失</w:t>
      </w:r>
      <w:r>
        <w:rPr>
          <w:rFonts w:hint="eastAsia" w:ascii="仿宋" w:hAnsi="仿宋" w:eastAsia="仿宋" w:cs="仿宋"/>
          <w:bCs/>
          <w:color w:val="auto"/>
          <w:sz w:val="24"/>
          <w:szCs w:val="22"/>
          <w:highlight w:val="none"/>
        </w:rPr>
        <w:t>。</w:t>
      </w:r>
    </w:p>
    <w:p>
      <w:pPr>
        <w:widowControl/>
        <w:spacing w:before="4" w:line="360" w:lineRule="auto"/>
        <w:rPr>
          <w:rFonts w:hint="eastAsia" w:ascii="仿宋" w:hAnsi="仿宋" w:eastAsia="仿宋" w:cs="仿宋"/>
          <w:color w:val="auto"/>
          <w:sz w:val="24"/>
          <w:szCs w:val="24"/>
          <w:highlight w:val="none"/>
        </w:rPr>
      </w:pPr>
    </w:p>
    <w:p>
      <w:pPr>
        <w:widowControl/>
        <w:spacing w:before="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投标供应商：（公章）</w:t>
      </w:r>
    </w:p>
    <w:p>
      <w:pPr>
        <w:widowControl/>
        <w:spacing w:before="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法定代表人或委托代理人：（签字或盖章）</w:t>
      </w:r>
    </w:p>
    <w:p>
      <w:pPr>
        <w:widowControl/>
        <w:spacing w:before="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                   传真：</w:t>
      </w:r>
    </w:p>
    <w:p>
      <w:pPr>
        <w:widowControl/>
        <w:spacing w:before="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                   邮编：</w:t>
      </w:r>
    </w:p>
    <w:p>
      <w:pPr>
        <w:widowControl/>
        <w:spacing w:before="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开户名称：</w:t>
      </w:r>
    </w:p>
    <w:p>
      <w:pPr>
        <w:widowControl/>
        <w:spacing w:before="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p>
      <w:pPr>
        <w:widowControl/>
        <w:spacing w:before="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开户账号：</w:t>
      </w:r>
    </w:p>
    <w:p>
      <w:pPr>
        <w:keepNext/>
        <w:keepLines/>
        <w:spacing w:before="260" w:after="260" w:line="415" w:lineRule="auto"/>
        <w:jc w:val="left"/>
        <w:outlineLvl w:val="1"/>
        <w:rPr>
          <w:rFonts w:hint="eastAsia" w:ascii="仿宋" w:hAnsi="仿宋" w:eastAsia="仿宋" w:cs="仿宋"/>
          <w:color w:val="auto"/>
          <w:sz w:val="28"/>
          <w:szCs w:val="28"/>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sz w:val="28"/>
          <w:szCs w:val="28"/>
          <w:highlight w:val="none"/>
        </w:rPr>
        <w:t>（十）开标一览表（格式）</w:t>
      </w:r>
    </w:p>
    <w:p>
      <w:pPr>
        <w:tabs>
          <w:tab w:val="left" w:pos="3885"/>
        </w:tabs>
        <w:spacing w:line="360" w:lineRule="auto"/>
        <w:ind w:firstLine="4410"/>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开标一览表</w:t>
      </w:r>
    </w:p>
    <w:p>
      <w:pPr>
        <w:spacing w:line="360" w:lineRule="auto"/>
        <w:ind w:firstLine="24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 xml:space="preserve">投标供应商全称（公章）：  </w:t>
      </w:r>
      <w:r>
        <w:rPr>
          <w:rFonts w:hint="eastAsia" w:ascii="仿宋" w:hAnsi="仿宋" w:eastAsia="仿宋" w:cs="仿宋"/>
          <w:color w:val="auto"/>
          <w:sz w:val="24"/>
          <w:szCs w:val="28"/>
          <w:highlight w:val="none"/>
        </w:rPr>
        <w:t xml:space="preserve">                           </w:t>
      </w:r>
      <w:r>
        <w:rPr>
          <w:rFonts w:hint="eastAsia" w:ascii="仿宋" w:hAnsi="仿宋" w:eastAsia="仿宋" w:cs="仿宋"/>
          <w:color w:val="auto"/>
          <w:sz w:val="24"/>
          <w:szCs w:val="24"/>
          <w:highlight w:val="none"/>
        </w:rPr>
        <w:t>采购文件编号：</w:t>
      </w:r>
      <w:r>
        <w:rPr>
          <w:rFonts w:hint="eastAsia" w:ascii="仿宋" w:hAnsi="仿宋" w:eastAsia="仿宋" w:cs="仿宋"/>
          <w:color w:val="auto"/>
          <w:szCs w:val="24"/>
          <w:highlight w:val="none"/>
        </w:rPr>
        <w:t xml:space="preserve"> </w:t>
      </w:r>
    </w:p>
    <w:tbl>
      <w:tblPr>
        <w:tblStyle w:val="3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514"/>
        <w:gridCol w:w="3113"/>
        <w:gridCol w:w="3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1764" w:type="pct"/>
            <w:noWrap w:val="0"/>
            <w:vAlign w:val="center"/>
          </w:tcPr>
          <w:p>
            <w:pPr>
              <w:jc w:val="center"/>
              <w:rPr>
                <w:rFonts w:hint="eastAsia" w:ascii="仿宋" w:hAnsi="仿宋" w:eastAsia="仿宋" w:cs="仿宋"/>
                <w:b/>
                <w:bCs/>
                <w:color w:val="auto"/>
                <w:sz w:val="24"/>
                <w:szCs w:val="24"/>
                <w:highlight w:val="none"/>
              </w:rPr>
            </w:pPr>
            <w:bookmarkStart w:id="29" w:name="_Hlk211251016"/>
            <w:r>
              <w:rPr>
                <w:rFonts w:hint="eastAsia" w:ascii="仿宋" w:hAnsi="仿宋" w:eastAsia="仿宋" w:cs="仿宋"/>
                <w:b/>
                <w:bCs/>
                <w:color w:val="auto"/>
                <w:sz w:val="24"/>
                <w:szCs w:val="24"/>
                <w:highlight w:val="none"/>
              </w:rPr>
              <w:t>项目名称</w:t>
            </w:r>
          </w:p>
        </w:tc>
        <w:tc>
          <w:tcPr>
            <w:tcW w:w="1563" w:type="pct"/>
            <w:noWrap w:val="0"/>
            <w:vAlign w:val="center"/>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投标总报价 </w:t>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小写</w:t>
            </w:r>
            <w:r>
              <w:rPr>
                <w:rFonts w:hint="eastAsia" w:ascii="仿宋" w:hAnsi="仿宋" w:eastAsia="仿宋" w:cs="仿宋"/>
                <w:b/>
                <w:bCs/>
                <w:color w:val="auto"/>
                <w:sz w:val="24"/>
                <w:szCs w:val="24"/>
                <w:highlight w:val="none"/>
                <w:lang w:eastAsia="zh-CN"/>
              </w:rPr>
              <w:t>）</w:t>
            </w:r>
          </w:p>
        </w:tc>
        <w:tc>
          <w:tcPr>
            <w:tcW w:w="1672" w:type="pct"/>
            <w:noWrap w:val="0"/>
            <w:vAlign w:val="center"/>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投标总报价</w:t>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（大写）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1764" w:type="pct"/>
            <w:noWrap w:val="0"/>
            <w:vAlign w:val="center"/>
          </w:tcPr>
          <w:p>
            <w:pPr>
              <w:spacing w:line="400" w:lineRule="exact"/>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2026年城区大型转运站（南长、滨湖生活垃圾转运站）运行管理项目</w:t>
            </w:r>
          </w:p>
        </w:tc>
        <w:tc>
          <w:tcPr>
            <w:tcW w:w="1563" w:type="pct"/>
            <w:noWrap w:val="0"/>
            <w:vAlign w:val="center"/>
          </w:tcPr>
          <w:p>
            <w:pPr>
              <w:rPr>
                <w:rFonts w:hint="eastAsia" w:ascii="仿宋" w:hAnsi="仿宋" w:eastAsia="仿宋" w:cs="仿宋"/>
                <w:b/>
                <w:color w:val="auto"/>
                <w:sz w:val="24"/>
                <w:szCs w:val="24"/>
                <w:highlight w:val="none"/>
              </w:rPr>
            </w:pPr>
          </w:p>
        </w:tc>
        <w:tc>
          <w:tcPr>
            <w:tcW w:w="1672" w:type="pct"/>
            <w:noWrap w:val="0"/>
            <w:vAlign w:val="center"/>
          </w:tcPr>
          <w:p>
            <w:pPr>
              <w:rPr>
                <w:rFonts w:hint="eastAsia" w:ascii="仿宋" w:hAnsi="仿宋" w:eastAsia="仿宋" w:cs="仿宋"/>
                <w:b/>
                <w:color w:val="auto"/>
                <w:sz w:val="24"/>
                <w:szCs w:val="24"/>
                <w:highlight w:val="none"/>
              </w:rPr>
            </w:pPr>
          </w:p>
        </w:tc>
      </w:tr>
    </w:tbl>
    <w:p>
      <w:pPr>
        <w:spacing w:line="360" w:lineRule="auto"/>
        <w:ind w:firstLine="240"/>
        <w:rPr>
          <w:rFonts w:hint="eastAsia" w:ascii="仿宋" w:hAnsi="仿宋" w:eastAsia="仿宋" w:cs="仿宋"/>
          <w:color w:val="auto"/>
          <w:sz w:val="24"/>
          <w:szCs w:val="24"/>
          <w:highlight w:val="none"/>
        </w:rPr>
      </w:pPr>
    </w:p>
    <w:p>
      <w:pPr>
        <w:spacing w:line="360" w:lineRule="auto"/>
        <w:ind w:firstLin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法定代表人或被授权代表签字或盖章：                          日期：   年   月   日</w:t>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填写说明：</w:t>
      </w:r>
    </w:p>
    <w:p>
      <w:pPr>
        <w:spacing w:line="360" w:lineRule="auto"/>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w:t>
      </w:r>
    </w:p>
    <w:p>
      <w:pPr>
        <w:spacing w:line="360" w:lineRule="auto"/>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（1）如开标一览表格式与“苏采云”系统中提供的格式不一致，以“苏采云”系统中提供的格式为准。</w:t>
      </w:r>
    </w:p>
    <w:p>
      <w:pPr>
        <w:spacing w:line="360" w:lineRule="auto"/>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rPr>
        <w:t>）开标一览表中的内容应与投标函内容一致，否则评标时一律按开标一览表中内容为准，开标一览表中必须盖章、签字。</w:t>
      </w:r>
    </w:p>
    <w:bookmarkEnd w:id="29"/>
    <w:p>
      <w:pPr>
        <w:spacing w:line="360" w:lineRule="auto"/>
        <w:ind w:firstLine="482"/>
        <w:rPr>
          <w:rFonts w:hint="eastAsia" w:ascii="仿宋" w:hAnsi="仿宋" w:eastAsia="仿宋" w:cs="仿宋"/>
          <w:b/>
          <w:color w:val="auto"/>
          <w:sz w:val="24"/>
          <w:szCs w:val="24"/>
          <w:highlight w:val="none"/>
        </w:rPr>
      </w:pPr>
    </w:p>
    <w:p>
      <w:pPr>
        <w:keepNext/>
        <w:keepLines/>
        <w:spacing w:before="260" w:after="260" w:line="415" w:lineRule="auto"/>
        <w:jc w:val="left"/>
        <w:outlineLvl w:val="1"/>
        <w:rPr>
          <w:rFonts w:hint="eastAsia" w:ascii="仿宋" w:hAnsi="仿宋" w:eastAsia="仿宋" w:cs="仿宋"/>
          <w:color w:val="auto"/>
          <w:sz w:val="28"/>
          <w:szCs w:val="28"/>
          <w:highlight w:val="none"/>
        </w:rPr>
      </w:pPr>
      <w:r>
        <w:rPr>
          <w:rFonts w:hint="eastAsia" w:ascii="仿宋" w:hAnsi="仿宋" w:eastAsia="仿宋" w:cs="仿宋"/>
          <w:bCs/>
          <w:color w:val="auto"/>
          <w:sz w:val="30"/>
          <w:szCs w:val="30"/>
          <w:highlight w:val="none"/>
        </w:rPr>
        <w:br w:type="page" w:clear="all"/>
      </w:r>
      <w:r>
        <w:rPr>
          <w:rFonts w:hint="eastAsia" w:ascii="仿宋" w:hAnsi="仿宋" w:eastAsia="仿宋" w:cs="仿宋"/>
          <w:color w:val="auto"/>
          <w:sz w:val="28"/>
          <w:szCs w:val="28"/>
          <w:highlight w:val="none"/>
        </w:rPr>
        <w:t>（十</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）报价明细表（格式</w:t>
      </w:r>
      <w:r>
        <w:rPr>
          <w:rFonts w:hint="eastAsia" w:ascii="仿宋" w:hAnsi="仿宋" w:eastAsia="仿宋" w:cs="仿宋"/>
          <w:color w:val="auto"/>
          <w:sz w:val="28"/>
          <w:szCs w:val="28"/>
          <w:highlight w:val="none"/>
          <w:lang w:val="en-US" w:eastAsia="zh-CN"/>
        </w:rPr>
        <w:t>自拟</w:t>
      </w:r>
      <w:r>
        <w:rPr>
          <w:rFonts w:hint="eastAsia" w:ascii="仿宋" w:hAnsi="仿宋" w:eastAsia="仿宋" w:cs="仿宋"/>
          <w:color w:val="auto"/>
          <w:sz w:val="28"/>
          <w:szCs w:val="28"/>
          <w:highlight w:val="none"/>
        </w:rPr>
        <w:t>）</w:t>
      </w:r>
    </w:p>
    <w:p>
      <w:pPr>
        <w:keepNext/>
        <w:keepLines/>
        <w:spacing w:before="260" w:after="260" w:line="415" w:lineRule="auto"/>
        <w:ind w:firstLine="4200"/>
        <w:jc w:val="left"/>
        <w:outlineLvl w:val="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报价明细表</w:t>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投标供应商名称（盖章）                                           项目编号：</w:t>
      </w:r>
    </w:p>
    <w:tbl>
      <w:tblPr>
        <w:tblStyle w:val="3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3165"/>
        <w:gridCol w:w="1585"/>
        <w:gridCol w:w="1586"/>
        <w:gridCol w:w="1484"/>
        <w:gridCol w:w="1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321"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序号</w:t>
            </w:r>
          </w:p>
        </w:tc>
        <w:tc>
          <w:tcPr>
            <w:tcW w:w="1590"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项目名称</w:t>
            </w:r>
          </w:p>
        </w:tc>
        <w:tc>
          <w:tcPr>
            <w:tcW w:w="797"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报价（元/月）</w:t>
            </w:r>
          </w:p>
        </w:tc>
        <w:tc>
          <w:tcPr>
            <w:tcW w:w="797"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报价（元/年）</w:t>
            </w:r>
          </w:p>
        </w:tc>
        <w:tc>
          <w:tcPr>
            <w:tcW w:w="746"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报价（元/</w:t>
            </w:r>
            <w:r>
              <w:rPr>
                <w:rFonts w:hint="eastAsia" w:ascii="仿宋" w:hAnsi="仿宋" w:eastAsia="仿宋" w:cs="仿宋"/>
                <w:b w:val="0"/>
                <w:bCs/>
                <w:color w:val="auto"/>
                <w:sz w:val="22"/>
                <w:szCs w:val="13"/>
                <w:highlight w:val="none"/>
                <w:lang w:val="en-US" w:eastAsia="zh-CN"/>
              </w:rPr>
              <w:t>2</w:t>
            </w:r>
            <w:r>
              <w:rPr>
                <w:rFonts w:hint="eastAsia" w:ascii="仿宋" w:hAnsi="仿宋" w:eastAsia="仿宋" w:cs="仿宋"/>
                <w:b w:val="0"/>
                <w:bCs/>
                <w:color w:val="auto"/>
                <w:sz w:val="22"/>
                <w:szCs w:val="13"/>
                <w:highlight w:val="none"/>
              </w:rPr>
              <w:t>年）</w:t>
            </w:r>
          </w:p>
        </w:tc>
        <w:tc>
          <w:tcPr>
            <w:tcW w:w="746"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321"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1</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员工工资、福利、法定计提费用</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参照表（1）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321"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2</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低值易耗品</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参照表（2）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21"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3</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服装费</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自行列表说明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321"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4</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培训、体检等费用</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自行列表说明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321"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5</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高峰期增加费用</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自行列表说明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321" w:type="pct"/>
            <w:noWrap w:val="0"/>
            <w:vAlign w:val="center"/>
          </w:tcPr>
          <w:p>
            <w:pPr>
              <w:jc w:val="center"/>
              <w:rPr>
                <w:rFonts w:hint="eastAsia" w:ascii="仿宋" w:hAnsi="仿宋" w:eastAsia="仿宋" w:cs="仿宋"/>
                <w:b w:val="0"/>
                <w:bCs/>
                <w:color w:val="auto"/>
                <w:sz w:val="22"/>
                <w:szCs w:val="13"/>
                <w:highlight w:val="none"/>
                <w:lang w:val="en-US" w:eastAsia="zh-CN"/>
              </w:rPr>
            </w:pPr>
            <w:r>
              <w:rPr>
                <w:rFonts w:hint="eastAsia" w:ascii="仿宋" w:hAnsi="仿宋" w:eastAsia="仿宋" w:cs="仿宋"/>
                <w:b w:val="0"/>
                <w:bCs/>
                <w:color w:val="auto"/>
                <w:sz w:val="22"/>
                <w:szCs w:val="13"/>
                <w:highlight w:val="none"/>
                <w:lang w:val="en-US" w:eastAsia="zh-CN"/>
              </w:rPr>
              <w:t>6</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燃油费</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321" w:type="pct"/>
            <w:noWrap w:val="0"/>
            <w:vAlign w:val="center"/>
          </w:tcPr>
          <w:p>
            <w:pPr>
              <w:jc w:val="center"/>
              <w:rPr>
                <w:rFonts w:hint="default" w:ascii="仿宋" w:hAnsi="仿宋" w:eastAsia="仿宋" w:cs="仿宋"/>
                <w:b w:val="0"/>
                <w:bCs/>
                <w:color w:val="auto"/>
                <w:sz w:val="22"/>
                <w:szCs w:val="13"/>
                <w:highlight w:val="none"/>
                <w:lang w:val="en-US" w:eastAsia="zh-CN"/>
              </w:rPr>
            </w:pPr>
            <w:r>
              <w:rPr>
                <w:rFonts w:hint="eastAsia" w:ascii="仿宋" w:hAnsi="仿宋" w:eastAsia="仿宋" w:cs="仿宋"/>
                <w:b w:val="0"/>
                <w:bCs/>
                <w:color w:val="auto"/>
                <w:sz w:val="22"/>
                <w:szCs w:val="13"/>
                <w:highlight w:val="none"/>
                <w:lang w:val="en-US" w:eastAsia="zh-CN"/>
              </w:rPr>
              <w:t>7</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车辆保险费</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321" w:type="pct"/>
            <w:noWrap w:val="0"/>
            <w:vAlign w:val="center"/>
          </w:tcPr>
          <w:p>
            <w:pPr>
              <w:jc w:val="center"/>
              <w:rPr>
                <w:rFonts w:hint="eastAsia" w:ascii="仿宋" w:hAnsi="仿宋" w:eastAsia="仿宋" w:cs="仿宋"/>
                <w:b w:val="0"/>
                <w:bCs/>
                <w:color w:val="auto"/>
                <w:sz w:val="22"/>
                <w:szCs w:val="13"/>
                <w:highlight w:val="none"/>
                <w:lang w:val="en-US" w:eastAsia="zh-CN"/>
              </w:rPr>
            </w:pPr>
            <w:r>
              <w:rPr>
                <w:rFonts w:hint="eastAsia" w:ascii="仿宋" w:hAnsi="仿宋" w:eastAsia="仿宋" w:cs="仿宋"/>
                <w:b w:val="0"/>
                <w:bCs/>
                <w:color w:val="auto"/>
                <w:sz w:val="22"/>
                <w:szCs w:val="13"/>
                <w:highlight w:val="none"/>
                <w:lang w:val="en-US" w:eastAsia="zh-CN"/>
              </w:rPr>
              <w:t>8</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备和车辆维修保养费</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321" w:type="pct"/>
            <w:noWrap w:val="0"/>
            <w:vAlign w:val="center"/>
          </w:tcPr>
          <w:p>
            <w:pPr>
              <w:jc w:val="center"/>
              <w:rPr>
                <w:rFonts w:hint="eastAsia" w:ascii="仿宋" w:hAnsi="仿宋" w:eastAsia="仿宋" w:cs="仿宋"/>
                <w:b w:val="0"/>
                <w:bCs/>
                <w:color w:val="auto"/>
                <w:sz w:val="22"/>
                <w:szCs w:val="13"/>
                <w:highlight w:val="none"/>
                <w:lang w:val="en-US" w:eastAsia="zh-CN"/>
              </w:rPr>
            </w:pPr>
            <w:r>
              <w:rPr>
                <w:rFonts w:hint="eastAsia" w:ascii="仿宋" w:hAnsi="仿宋" w:eastAsia="仿宋" w:cs="仿宋"/>
                <w:b w:val="0"/>
                <w:bCs/>
                <w:color w:val="auto"/>
                <w:sz w:val="22"/>
                <w:szCs w:val="13"/>
                <w:highlight w:val="none"/>
                <w:lang w:val="en-US" w:eastAsia="zh-CN"/>
              </w:rPr>
              <w:t>9</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污水和除臭设备耗材更换和药剂费用</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321" w:type="pct"/>
            <w:noWrap w:val="0"/>
            <w:vAlign w:val="center"/>
          </w:tcPr>
          <w:p>
            <w:pPr>
              <w:jc w:val="center"/>
              <w:rPr>
                <w:rFonts w:hint="default" w:ascii="仿宋" w:hAnsi="仿宋" w:eastAsia="仿宋" w:cs="仿宋"/>
                <w:b w:val="0"/>
                <w:bCs/>
                <w:color w:val="auto"/>
                <w:sz w:val="22"/>
                <w:szCs w:val="13"/>
                <w:highlight w:val="none"/>
                <w:lang w:val="en-US" w:eastAsia="zh-CN"/>
              </w:rPr>
            </w:pPr>
            <w:r>
              <w:rPr>
                <w:rFonts w:hint="eastAsia" w:ascii="仿宋" w:hAnsi="仿宋" w:eastAsia="仿宋" w:cs="仿宋"/>
                <w:b w:val="0"/>
                <w:bCs/>
                <w:color w:val="auto"/>
                <w:sz w:val="22"/>
                <w:szCs w:val="13"/>
                <w:highlight w:val="none"/>
                <w:lang w:val="en-US" w:eastAsia="zh-CN"/>
              </w:rPr>
              <w:t>10</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办公费</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321" w:type="pct"/>
            <w:noWrap w:val="0"/>
            <w:vAlign w:val="center"/>
          </w:tcPr>
          <w:p>
            <w:pPr>
              <w:jc w:val="center"/>
              <w:rPr>
                <w:rFonts w:hint="default" w:ascii="仿宋" w:hAnsi="仿宋" w:eastAsia="仿宋" w:cs="仿宋"/>
                <w:b w:val="0"/>
                <w:bCs/>
                <w:color w:val="auto"/>
                <w:sz w:val="22"/>
                <w:szCs w:val="13"/>
                <w:highlight w:val="none"/>
                <w:lang w:val="en-US" w:eastAsia="zh-CN"/>
              </w:rPr>
            </w:pPr>
            <w:r>
              <w:rPr>
                <w:rFonts w:hint="eastAsia" w:ascii="仿宋" w:hAnsi="仿宋" w:eastAsia="仿宋" w:cs="仿宋"/>
                <w:b w:val="0"/>
                <w:bCs/>
                <w:color w:val="auto"/>
                <w:sz w:val="22"/>
                <w:szCs w:val="13"/>
                <w:highlight w:val="none"/>
                <w:lang w:val="en-US" w:eastAsia="zh-CN"/>
              </w:rPr>
              <w:t>11</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应急物资</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321" w:type="pct"/>
            <w:noWrap w:val="0"/>
            <w:vAlign w:val="center"/>
          </w:tcPr>
          <w:p>
            <w:pPr>
              <w:jc w:val="center"/>
              <w:rPr>
                <w:rFonts w:hint="default" w:ascii="仿宋" w:hAnsi="仿宋" w:eastAsia="仿宋" w:cs="仿宋"/>
                <w:b w:val="0"/>
                <w:bCs/>
                <w:color w:val="auto"/>
                <w:sz w:val="22"/>
                <w:szCs w:val="13"/>
                <w:highlight w:val="none"/>
                <w:lang w:val="en-US" w:eastAsia="zh-CN"/>
              </w:rPr>
            </w:pPr>
            <w:r>
              <w:rPr>
                <w:rFonts w:hint="eastAsia" w:ascii="仿宋" w:hAnsi="仿宋" w:eastAsia="仿宋" w:cs="仿宋"/>
                <w:b w:val="0"/>
                <w:bCs/>
                <w:color w:val="auto"/>
                <w:sz w:val="22"/>
                <w:szCs w:val="13"/>
                <w:highlight w:val="none"/>
                <w:lang w:val="en-US" w:eastAsia="zh-CN"/>
              </w:rPr>
              <w:t>12</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合理利润</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21" w:type="pct"/>
            <w:noWrap w:val="0"/>
            <w:vAlign w:val="center"/>
          </w:tcPr>
          <w:p>
            <w:pPr>
              <w:jc w:val="center"/>
              <w:rPr>
                <w:rFonts w:hint="default" w:ascii="仿宋" w:hAnsi="仿宋" w:eastAsia="仿宋" w:cs="仿宋"/>
                <w:b w:val="0"/>
                <w:bCs/>
                <w:color w:val="auto"/>
                <w:sz w:val="22"/>
                <w:szCs w:val="13"/>
                <w:highlight w:val="none"/>
                <w:lang w:val="en-US" w:eastAsia="zh-CN"/>
              </w:rPr>
            </w:pPr>
            <w:r>
              <w:rPr>
                <w:rFonts w:hint="eastAsia" w:ascii="仿宋" w:hAnsi="仿宋" w:eastAsia="仿宋" w:cs="仿宋"/>
                <w:b w:val="0"/>
                <w:bCs/>
                <w:color w:val="auto"/>
                <w:sz w:val="22"/>
                <w:szCs w:val="13"/>
                <w:highlight w:val="none"/>
                <w:lang w:val="en-US" w:eastAsia="zh-CN"/>
              </w:rPr>
              <w:t>13</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税金</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321" w:type="pct"/>
            <w:noWrap w:val="0"/>
            <w:vAlign w:val="center"/>
          </w:tcPr>
          <w:p>
            <w:pPr>
              <w:jc w:val="center"/>
              <w:rPr>
                <w:rFonts w:hint="default" w:ascii="仿宋" w:hAnsi="仿宋" w:eastAsia="仿宋" w:cs="仿宋"/>
                <w:b w:val="0"/>
                <w:bCs/>
                <w:color w:val="auto"/>
                <w:sz w:val="22"/>
                <w:szCs w:val="13"/>
                <w:highlight w:val="none"/>
                <w:lang w:val="en-US" w:eastAsia="zh-CN"/>
              </w:rPr>
            </w:pPr>
            <w:r>
              <w:rPr>
                <w:rFonts w:hint="eastAsia" w:ascii="仿宋" w:hAnsi="仿宋" w:eastAsia="仿宋" w:cs="仿宋"/>
                <w:b w:val="0"/>
                <w:bCs/>
                <w:color w:val="auto"/>
                <w:sz w:val="22"/>
                <w:szCs w:val="13"/>
                <w:highlight w:val="none"/>
                <w:lang w:val="en-US" w:eastAsia="zh-CN"/>
              </w:rPr>
              <w:t>14</w:t>
            </w:r>
          </w:p>
        </w:tc>
        <w:tc>
          <w:tcPr>
            <w:tcW w:w="1590" w:type="pct"/>
            <w:noWrap w:val="0"/>
            <w:vAlign w:val="center"/>
          </w:tcPr>
          <w:p>
            <w:pP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其他支出</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321" w:type="pct"/>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w:t>
            </w:r>
          </w:p>
        </w:tc>
        <w:tc>
          <w:tcPr>
            <w:tcW w:w="1590"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911" w:type="pct"/>
            <w:gridSpan w:val="2"/>
            <w:noWrap w:val="0"/>
            <w:vAlign w:val="center"/>
          </w:tcPr>
          <w:p>
            <w:pPr>
              <w:jc w:val="center"/>
              <w:rPr>
                <w:rFonts w:hint="eastAsia" w:ascii="仿宋" w:hAnsi="仿宋" w:eastAsia="仿宋" w:cs="仿宋"/>
                <w:b w:val="0"/>
                <w:bCs/>
                <w:color w:val="auto"/>
                <w:sz w:val="22"/>
                <w:szCs w:val="13"/>
                <w:highlight w:val="none"/>
              </w:rPr>
            </w:pPr>
            <w:r>
              <w:rPr>
                <w:rFonts w:hint="eastAsia" w:ascii="仿宋" w:hAnsi="仿宋" w:eastAsia="仿宋" w:cs="仿宋"/>
                <w:b w:val="0"/>
                <w:bCs/>
                <w:color w:val="auto"/>
                <w:sz w:val="22"/>
                <w:szCs w:val="13"/>
                <w:highlight w:val="none"/>
              </w:rPr>
              <w:t>合计</w:t>
            </w: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97"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c>
          <w:tcPr>
            <w:tcW w:w="746" w:type="pct"/>
            <w:noWrap w:val="0"/>
            <w:vAlign w:val="center"/>
          </w:tcPr>
          <w:p>
            <w:pPr>
              <w:jc w:val="center"/>
              <w:rPr>
                <w:rFonts w:hint="eastAsia" w:ascii="仿宋" w:hAnsi="仿宋" w:eastAsia="仿宋" w:cs="仿宋"/>
                <w:b w:val="0"/>
                <w:bCs/>
                <w:color w:val="auto"/>
                <w:sz w:val="22"/>
                <w:szCs w:val="13"/>
                <w:highlight w:val="none"/>
              </w:rPr>
            </w:pPr>
          </w:p>
        </w:tc>
      </w:tr>
    </w:tbl>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法定代表人或法定代表人授权代表签字或盖章：</w:t>
      </w:r>
    </w:p>
    <w:p>
      <w:pPr>
        <w:spacing w:line="400" w:lineRule="exact"/>
        <w:ind w:firstLine="316"/>
        <w:outlineLvl w:val="0"/>
        <w:rPr>
          <w:rFonts w:hint="eastAsia" w:ascii="仿宋" w:hAnsi="仿宋" w:eastAsia="仿宋" w:cs="仿宋"/>
          <w:bCs/>
          <w:color w:val="auto"/>
          <w:sz w:val="24"/>
          <w:szCs w:val="16"/>
          <w:highlight w:val="none"/>
        </w:rPr>
      </w:pPr>
      <w:r>
        <w:rPr>
          <w:rFonts w:hint="eastAsia" w:ascii="仿宋" w:hAnsi="仿宋" w:eastAsia="仿宋" w:cs="仿宋"/>
          <w:b/>
          <w:color w:val="auto"/>
          <w:sz w:val="24"/>
          <w:szCs w:val="16"/>
          <w:highlight w:val="none"/>
        </w:rPr>
        <w:t>注：</w:t>
      </w:r>
      <w:r>
        <w:rPr>
          <w:rFonts w:hint="eastAsia" w:ascii="仿宋" w:hAnsi="仿宋" w:eastAsia="仿宋" w:cs="仿宋"/>
          <w:bCs/>
          <w:color w:val="auto"/>
          <w:sz w:val="24"/>
          <w:szCs w:val="16"/>
          <w:highlight w:val="none"/>
        </w:rPr>
        <w:t>（1）投标人应当根据“项目技术要求和有关说明”的内容在上表中详细填写；</w:t>
      </w:r>
    </w:p>
    <w:p>
      <w:pPr>
        <w:spacing w:line="400" w:lineRule="exact"/>
        <w:ind w:firstLine="315"/>
        <w:outlineLvl w:val="0"/>
        <w:rPr>
          <w:rFonts w:hint="eastAsia" w:ascii="仿宋" w:hAnsi="仿宋" w:eastAsia="仿宋" w:cs="仿宋"/>
          <w:bCs/>
          <w:color w:val="auto"/>
          <w:sz w:val="24"/>
          <w:szCs w:val="16"/>
          <w:highlight w:val="none"/>
        </w:rPr>
      </w:pPr>
      <w:r>
        <w:rPr>
          <w:rFonts w:hint="eastAsia" w:ascii="仿宋" w:hAnsi="仿宋" w:eastAsia="仿宋" w:cs="仿宋"/>
          <w:bCs/>
          <w:color w:val="auto"/>
          <w:sz w:val="24"/>
          <w:szCs w:val="16"/>
          <w:highlight w:val="none"/>
        </w:rPr>
        <w:t>（2）表格不够可自行延长。</w:t>
      </w:r>
    </w:p>
    <w:p>
      <w:pPr>
        <w:spacing w:line="580" w:lineRule="exact"/>
        <w:rPr>
          <w:rFonts w:hint="eastAsia" w:ascii="仿宋" w:hAnsi="仿宋" w:eastAsia="仿宋" w:cs="仿宋"/>
          <w:bCs/>
          <w:color w:val="auto"/>
          <w:sz w:val="24"/>
          <w:szCs w:val="24"/>
          <w:highlight w:val="none"/>
        </w:rPr>
      </w:pPr>
    </w:p>
    <w:p>
      <w:pPr>
        <w:tabs>
          <w:tab w:val="left" w:pos="2317"/>
          <w:tab w:val="center" w:pos="4709"/>
        </w:tabs>
        <w:spacing w:line="400" w:lineRule="exact"/>
        <w:jc w:val="left"/>
        <w:rPr>
          <w:rFonts w:ascii="黑体" w:eastAsia="黑体"/>
          <w:bCs/>
          <w:color w:val="auto"/>
          <w:sz w:val="24"/>
          <w:szCs w:val="24"/>
          <w:highlight w:val="none"/>
        </w:rPr>
      </w:pPr>
      <w:r>
        <w:rPr>
          <w:rFonts w:hint="eastAsia" w:ascii="黑体" w:eastAsia="黑体"/>
          <w:bCs/>
          <w:color w:val="auto"/>
          <w:sz w:val="24"/>
          <w:szCs w:val="24"/>
          <w:highlight w:val="none"/>
        </w:rPr>
        <w:tab/>
      </w:r>
    </w:p>
    <w:p>
      <w:pPr>
        <w:spacing w:line="360" w:lineRule="auto"/>
        <w:jc w:val="center"/>
        <w:rPr>
          <w:rFonts w:hint="eastAsia" w:ascii="仿宋" w:hAnsi="仿宋" w:eastAsia="仿宋" w:cs="仿宋"/>
          <w:b/>
          <w:color w:val="auto"/>
          <w:sz w:val="24"/>
          <w:szCs w:val="24"/>
          <w:highlight w:val="none"/>
        </w:rPr>
      </w:pPr>
      <w:bookmarkStart w:id="30" w:name="_Hlk211251270"/>
      <w:r>
        <w:rPr>
          <w:rFonts w:hint="eastAsia" w:ascii="仿宋" w:hAnsi="仿宋" w:eastAsia="仿宋" w:cs="仿宋"/>
          <w:color w:val="auto"/>
          <w:sz w:val="28"/>
          <w:szCs w:val="28"/>
          <w:highlight w:val="none"/>
        </w:rPr>
        <w:t>（1）员工工资福利及法定计提费用明细表</w:t>
      </w:r>
    </w:p>
    <w:p>
      <w:pPr>
        <w:spacing w:line="360" w:lineRule="auto"/>
        <w:rPr>
          <w:rFonts w:hint="eastAsia" w:ascii="仿宋" w:hAnsi="仿宋" w:eastAsia="仿宋" w:cs="仿宋"/>
          <w:b/>
          <w:color w:val="auto"/>
          <w:sz w:val="24"/>
          <w:szCs w:val="24"/>
          <w:highlight w:val="none"/>
        </w:rPr>
      </w:pP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投标供应商名称（盖章）                                           项目编号：</w:t>
      </w:r>
    </w:p>
    <w:tbl>
      <w:tblPr>
        <w:tblStyle w:val="30"/>
        <w:tblW w:w="50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3"/>
        <w:gridCol w:w="3544"/>
        <w:gridCol w:w="617"/>
        <w:gridCol w:w="1183"/>
        <w:gridCol w:w="1267"/>
        <w:gridCol w:w="890"/>
        <w:gridCol w:w="775"/>
        <w:gridCol w:w="7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9" w:hRule="atLeast"/>
        </w:trPr>
        <w:tc>
          <w:tcPr>
            <w:tcW w:w="1013"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3545"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项目名称</w:t>
            </w:r>
          </w:p>
        </w:tc>
        <w:tc>
          <w:tcPr>
            <w:tcW w:w="617"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人数配置</w:t>
            </w:r>
          </w:p>
        </w:tc>
        <w:tc>
          <w:tcPr>
            <w:tcW w:w="1183"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人员费用标准（元/月）</w:t>
            </w:r>
          </w:p>
        </w:tc>
        <w:tc>
          <w:tcPr>
            <w:tcW w:w="1267"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合计费用（元/月）</w:t>
            </w:r>
          </w:p>
        </w:tc>
        <w:tc>
          <w:tcPr>
            <w:tcW w:w="890"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合计费用（元/年）</w:t>
            </w:r>
          </w:p>
        </w:tc>
        <w:tc>
          <w:tcPr>
            <w:tcW w:w="775"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合计费用（元/</w:t>
            </w:r>
            <w:r>
              <w:rPr>
                <w:rFonts w:hint="eastAsia" w:ascii="仿宋" w:hAnsi="仿宋" w:eastAsia="仿宋" w:cs="仿宋"/>
                <w:b/>
                <w:color w:val="auto"/>
                <w:szCs w:val="21"/>
                <w:highlight w:val="none"/>
                <w:lang w:val="en-US" w:eastAsia="zh-CN"/>
              </w:rPr>
              <w:t>2</w:t>
            </w:r>
            <w:r>
              <w:rPr>
                <w:rFonts w:hint="eastAsia" w:ascii="仿宋" w:hAnsi="仿宋" w:eastAsia="仿宋" w:cs="仿宋"/>
                <w:b/>
                <w:color w:val="auto"/>
                <w:szCs w:val="21"/>
                <w:highlight w:val="none"/>
              </w:rPr>
              <w:t>年）</w:t>
            </w:r>
          </w:p>
        </w:tc>
        <w:tc>
          <w:tcPr>
            <w:tcW w:w="775"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1013"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1</w:t>
            </w:r>
          </w:p>
        </w:tc>
        <w:tc>
          <w:tcPr>
            <w:tcW w:w="3545"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员工工资及福利</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eastAsia="zh-CN"/>
              </w:rPr>
              <w:t>)</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项目负责人</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013" w:type="dxa"/>
            <w:noWrap w:val="0"/>
            <w:vAlign w:val="center"/>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2)</w:t>
            </w:r>
          </w:p>
        </w:tc>
        <w:tc>
          <w:tcPr>
            <w:tcW w:w="3545" w:type="dxa"/>
            <w:noWrap w:val="0"/>
            <w:vAlign w:val="center"/>
          </w:tcPr>
          <w:p>
            <w:pPr>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3)</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其他人员</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4)</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法定节假日加班工资</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5)</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员工人身意外保险费</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按人员配置总数计算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6)</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高温费</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trPr>
        <w:tc>
          <w:tcPr>
            <w:tcW w:w="1013" w:type="dxa"/>
            <w:noWrap w:val="0"/>
            <w:vAlign w:val="center"/>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7)</w:t>
            </w:r>
          </w:p>
        </w:tc>
        <w:tc>
          <w:tcPr>
            <w:tcW w:w="3545" w:type="dxa"/>
            <w:noWrap w:val="0"/>
            <w:vAlign w:val="center"/>
          </w:tcPr>
          <w:p>
            <w:pPr>
              <w:jc w:val="center"/>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w:t>
            </w:r>
            <w:r>
              <w:rPr>
                <w:rFonts w:hint="eastAsia" w:ascii="仿宋" w:hAnsi="仿宋" w:eastAsia="仿宋" w:cs="仿宋"/>
                <w:color w:val="auto"/>
                <w:szCs w:val="21"/>
                <w:highlight w:val="none"/>
              </w:rPr>
              <w:t>员工</w:t>
            </w:r>
            <w:r>
              <w:rPr>
                <w:rFonts w:hint="eastAsia" w:ascii="仿宋" w:hAnsi="仿宋" w:eastAsia="仿宋" w:cs="仿宋"/>
                <w:color w:val="auto"/>
                <w:szCs w:val="21"/>
                <w:highlight w:val="none"/>
                <w:lang w:val="en-US" w:eastAsia="zh-CN"/>
              </w:rPr>
              <w:t>福利</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8)</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其他员工福利</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545" w:type="dxa"/>
            <w:noWrap w:val="0"/>
            <w:vAlign w:val="center"/>
          </w:tcPr>
          <w:p>
            <w:pPr>
              <w:jc w:val="center"/>
              <w:rPr>
                <w:rFonts w:hint="eastAsia" w:ascii="仿宋" w:hAnsi="仿宋" w:eastAsia="仿宋" w:cs="仿宋"/>
                <w:color w:val="auto"/>
                <w:szCs w:val="21"/>
                <w:highlight w:val="none"/>
              </w:rPr>
            </w:pP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trPr>
        <w:tc>
          <w:tcPr>
            <w:tcW w:w="1013"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2</w:t>
            </w:r>
          </w:p>
        </w:tc>
        <w:tc>
          <w:tcPr>
            <w:tcW w:w="3545" w:type="dxa"/>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法定计提费用</w:t>
            </w:r>
          </w:p>
        </w:tc>
        <w:tc>
          <w:tcPr>
            <w:tcW w:w="617" w:type="dxa"/>
            <w:noWrap w:val="0"/>
            <w:vAlign w:val="center"/>
          </w:tcPr>
          <w:p>
            <w:pPr>
              <w:jc w:val="center"/>
              <w:rPr>
                <w:rFonts w:hint="eastAsia" w:ascii="仿宋" w:hAnsi="仿宋" w:eastAsia="仿宋" w:cs="仿宋"/>
                <w:b/>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eastAsia="zh-CN"/>
              </w:rPr>
              <w:t>)</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养老保险</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按人员配置数计算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eastAsia="zh-CN"/>
              </w:rPr>
              <w:t>)</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医疗统筹</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按人员配置数计算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3</w:t>
            </w:r>
            <w:r>
              <w:rPr>
                <w:rFonts w:hint="eastAsia" w:ascii="仿宋" w:hAnsi="仿宋" w:eastAsia="仿宋" w:cs="仿宋"/>
                <w:color w:val="auto"/>
                <w:szCs w:val="21"/>
                <w:highlight w:val="none"/>
                <w:lang w:eastAsia="zh-CN"/>
              </w:rPr>
              <w:t>)</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失业</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按人员配置数计算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4</w:t>
            </w:r>
            <w:r>
              <w:rPr>
                <w:rFonts w:hint="eastAsia" w:ascii="仿宋" w:hAnsi="仿宋" w:eastAsia="仿宋" w:cs="仿宋"/>
                <w:color w:val="auto"/>
                <w:szCs w:val="21"/>
                <w:highlight w:val="none"/>
                <w:lang w:eastAsia="zh-CN"/>
              </w:rPr>
              <w:t>)</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工伤</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按人员配置数计算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5</w:t>
            </w:r>
            <w:r>
              <w:rPr>
                <w:rFonts w:hint="eastAsia" w:ascii="仿宋" w:hAnsi="仿宋" w:eastAsia="仿宋" w:cs="仿宋"/>
                <w:color w:val="auto"/>
                <w:szCs w:val="21"/>
                <w:highlight w:val="none"/>
                <w:lang w:eastAsia="zh-CN"/>
              </w:rPr>
              <w:t>)</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生育</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p>
        </w:tc>
        <w:tc>
          <w:tcPr>
            <w:tcW w:w="775" w:type="dxa"/>
            <w:noWrap w:val="0"/>
            <w:vAlign w:val="to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按人员配置数计算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6</w:t>
            </w:r>
            <w:r>
              <w:rPr>
                <w:rFonts w:hint="eastAsia" w:ascii="仿宋" w:hAnsi="仿宋" w:eastAsia="仿宋" w:cs="仿宋"/>
                <w:color w:val="auto"/>
                <w:szCs w:val="21"/>
                <w:highlight w:val="none"/>
                <w:lang w:eastAsia="zh-CN"/>
              </w:rPr>
              <w:t>)</w:t>
            </w:r>
          </w:p>
        </w:tc>
        <w:tc>
          <w:tcPr>
            <w:tcW w:w="3545"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其他法定计提费用</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1013" w:type="dxa"/>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545" w:type="dxa"/>
            <w:noWrap w:val="0"/>
            <w:vAlign w:val="center"/>
          </w:tcPr>
          <w:p>
            <w:pPr>
              <w:jc w:val="center"/>
              <w:rPr>
                <w:rFonts w:hint="eastAsia" w:ascii="仿宋" w:hAnsi="仿宋" w:eastAsia="仿宋" w:cs="仿宋"/>
                <w:color w:val="auto"/>
                <w:szCs w:val="21"/>
                <w:highlight w:val="none"/>
              </w:rPr>
            </w:pP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4558" w:type="dxa"/>
            <w:gridSpan w:val="2"/>
            <w:noWrap w:val="0"/>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合计：</w:t>
            </w:r>
          </w:p>
        </w:tc>
        <w:tc>
          <w:tcPr>
            <w:tcW w:w="617" w:type="dxa"/>
            <w:noWrap w:val="0"/>
            <w:vAlign w:val="center"/>
          </w:tcPr>
          <w:p>
            <w:pPr>
              <w:jc w:val="center"/>
              <w:rPr>
                <w:rFonts w:hint="eastAsia" w:ascii="仿宋" w:hAnsi="仿宋" w:eastAsia="仿宋" w:cs="仿宋"/>
                <w:color w:val="auto"/>
                <w:szCs w:val="21"/>
                <w:highlight w:val="none"/>
              </w:rPr>
            </w:pPr>
          </w:p>
        </w:tc>
        <w:tc>
          <w:tcPr>
            <w:tcW w:w="1183" w:type="dxa"/>
            <w:noWrap w:val="0"/>
            <w:vAlign w:val="center"/>
          </w:tcPr>
          <w:p>
            <w:pPr>
              <w:jc w:val="center"/>
              <w:rPr>
                <w:rFonts w:hint="eastAsia" w:ascii="仿宋" w:hAnsi="仿宋" w:eastAsia="仿宋" w:cs="仿宋"/>
                <w:color w:val="auto"/>
                <w:szCs w:val="21"/>
                <w:highlight w:val="none"/>
              </w:rPr>
            </w:pPr>
          </w:p>
        </w:tc>
        <w:tc>
          <w:tcPr>
            <w:tcW w:w="1267" w:type="dxa"/>
            <w:noWrap w:val="0"/>
            <w:vAlign w:val="center"/>
          </w:tcPr>
          <w:p>
            <w:pPr>
              <w:jc w:val="center"/>
              <w:rPr>
                <w:rFonts w:hint="eastAsia" w:ascii="仿宋" w:hAnsi="仿宋" w:eastAsia="仿宋" w:cs="仿宋"/>
                <w:color w:val="auto"/>
                <w:szCs w:val="21"/>
                <w:highlight w:val="none"/>
              </w:rPr>
            </w:pPr>
          </w:p>
        </w:tc>
        <w:tc>
          <w:tcPr>
            <w:tcW w:w="890"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c>
          <w:tcPr>
            <w:tcW w:w="775" w:type="dxa"/>
            <w:noWrap w:val="0"/>
            <w:vAlign w:val="center"/>
          </w:tcPr>
          <w:p>
            <w:pPr>
              <w:jc w:val="center"/>
              <w:rPr>
                <w:rFonts w:hint="eastAsia" w:ascii="仿宋" w:hAnsi="仿宋" w:eastAsia="仿宋" w:cs="仿宋"/>
                <w:color w:val="auto"/>
                <w:szCs w:val="21"/>
                <w:highlight w:val="none"/>
              </w:rPr>
            </w:pPr>
          </w:p>
        </w:tc>
      </w:tr>
    </w:tbl>
    <w:p>
      <w:pPr>
        <w:spacing w:before="5" w:line="360" w:lineRule="auto"/>
        <w:jc w:val="center"/>
        <w:rPr>
          <w:rFonts w:hint="eastAsia" w:ascii="仿宋" w:hAnsi="仿宋" w:eastAsia="仿宋" w:cs="仿宋"/>
          <w:b/>
          <w:bCs/>
          <w:color w:val="auto"/>
          <w:sz w:val="24"/>
          <w:szCs w:val="24"/>
          <w:highlight w:val="none"/>
        </w:rPr>
      </w:pPr>
    </w:p>
    <w:p>
      <w:pPr>
        <w:spacing w:before="5" w:line="360" w:lineRule="auto"/>
        <w:rPr>
          <w:rFonts w:hint="eastAsia" w:ascii="仿宋" w:hAnsi="仿宋" w:eastAsia="仿宋" w:cs="仿宋"/>
          <w:b/>
          <w:bCs/>
          <w:color w:val="auto"/>
          <w:sz w:val="24"/>
          <w:szCs w:val="24"/>
          <w:highlight w:val="none"/>
        </w:rPr>
      </w:pPr>
    </w:p>
    <w:p>
      <w:pPr>
        <w:spacing w:before="5"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法定代表人或被授权代表签字或盖章：</w:t>
      </w:r>
    </w:p>
    <w:p>
      <w:pPr>
        <w:pStyle w:val="215"/>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日期：   年   月   日</w:t>
      </w:r>
    </w:p>
    <w:p>
      <w:pPr>
        <w:spacing w:line="360" w:lineRule="auto"/>
        <w:ind w:firstLine="316"/>
        <w:rPr>
          <w:rFonts w:hint="eastAsia" w:ascii="仿宋" w:hAnsi="仿宋" w:eastAsia="仿宋" w:cs="仿宋"/>
          <w:b/>
          <w:color w:val="auto"/>
          <w:szCs w:val="21"/>
          <w:highlight w:val="none"/>
        </w:rPr>
      </w:pPr>
    </w:p>
    <w:p>
      <w:pPr>
        <w:spacing w:line="360" w:lineRule="auto"/>
        <w:rPr>
          <w:rFonts w:hint="eastAsia" w:ascii="仿宋" w:hAnsi="仿宋" w:eastAsia="仿宋" w:cs="仿宋"/>
          <w:bCs/>
          <w:color w:val="auto"/>
          <w:szCs w:val="21"/>
          <w:highlight w:val="none"/>
        </w:rPr>
      </w:pPr>
      <w:r>
        <w:rPr>
          <w:rFonts w:hint="eastAsia" w:ascii="仿宋" w:hAnsi="仿宋" w:eastAsia="仿宋" w:cs="仿宋"/>
          <w:b/>
          <w:color w:val="auto"/>
          <w:szCs w:val="21"/>
          <w:highlight w:val="none"/>
        </w:rPr>
        <w:t>注：</w:t>
      </w:r>
      <w:r>
        <w:rPr>
          <w:rFonts w:hint="eastAsia" w:ascii="仿宋" w:hAnsi="仿宋" w:eastAsia="仿宋" w:cs="仿宋"/>
          <w:bCs/>
          <w:color w:val="auto"/>
          <w:szCs w:val="21"/>
          <w:highlight w:val="none"/>
        </w:rPr>
        <w:t>（1）表格不够可自行延长。</w:t>
      </w:r>
    </w:p>
    <w:bookmarkEnd w:id="30"/>
    <w:p>
      <w:pPr>
        <w:spacing w:line="400" w:lineRule="exact"/>
        <w:rPr>
          <w:rFonts w:hint="eastAsia" w:ascii="仿宋" w:hAnsi="仿宋" w:eastAsia="仿宋" w:cs="仿宋"/>
          <w:bCs/>
          <w:color w:val="auto"/>
          <w:sz w:val="24"/>
          <w:szCs w:val="24"/>
          <w:highlight w:val="none"/>
        </w:rPr>
      </w:pPr>
    </w:p>
    <w:p>
      <w:pPr>
        <w:spacing w:line="400" w:lineRule="exact"/>
        <w:rPr>
          <w:rFonts w:hint="eastAsia" w:ascii="仿宋" w:hAnsi="仿宋" w:eastAsia="仿宋" w:cs="仿宋"/>
          <w:bCs/>
          <w:color w:val="auto"/>
          <w:sz w:val="24"/>
          <w:szCs w:val="24"/>
          <w:highlight w:val="none"/>
        </w:rPr>
      </w:pPr>
    </w:p>
    <w:p>
      <w:pPr>
        <w:spacing w:line="400" w:lineRule="exact"/>
        <w:rPr>
          <w:rFonts w:hint="eastAsia" w:ascii="仿宋" w:hAnsi="仿宋" w:eastAsia="仿宋" w:cs="仿宋"/>
          <w:bCs/>
          <w:color w:val="auto"/>
          <w:sz w:val="24"/>
          <w:szCs w:val="24"/>
          <w:highlight w:val="none"/>
        </w:rPr>
      </w:pPr>
    </w:p>
    <w:p>
      <w:pPr>
        <w:spacing w:line="400" w:lineRule="exact"/>
        <w:rPr>
          <w:rFonts w:hint="eastAsia" w:ascii="仿宋" w:hAnsi="仿宋" w:eastAsia="仿宋" w:cs="仿宋"/>
          <w:bCs/>
          <w:color w:val="auto"/>
          <w:sz w:val="24"/>
          <w:szCs w:val="24"/>
          <w:highlight w:val="none"/>
        </w:rPr>
      </w:pPr>
    </w:p>
    <w:p>
      <w:pPr>
        <w:keepNext w:val="0"/>
        <w:keepLines w:val="0"/>
        <w:spacing w:before="0" w:after="0" w:line="240" w:lineRule="auto"/>
        <w:ind w:firstLine="0"/>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pPr>
        <w:keepNext/>
        <w:keepLines/>
        <w:spacing w:before="260" w:after="260" w:line="415" w:lineRule="auto"/>
        <w:ind w:firstLine="0"/>
        <w:jc w:val="center"/>
        <w:outlineLvl w:val="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（2）投入本项目的低值易耗用品明细表</w:t>
      </w:r>
    </w:p>
    <w:p>
      <w:pPr>
        <w:spacing w:line="400" w:lineRule="exact"/>
        <w:jc w:val="center"/>
        <w:rPr>
          <w:rFonts w:hint="eastAsia" w:ascii="仿宋" w:hAnsi="仿宋" w:eastAsia="仿宋" w:cs="仿宋"/>
          <w:b/>
          <w:bCs/>
          <w:color w:val="auto"/>
          <w:sz w:val="24"/>
          <w:szCs w:val="24"/>
          <w:highlight w:val="none"/>
        </w:rPr>
      </w:pP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投标人名称（盖章）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采购项目编号：</w:t>
      </w:r>
    </w:p>
    <w:tbl>
      <w:tblPr>
        <w:tblStyle w:val="3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017"/>
        <w:gridCol w:w="617"/>
        <w:gridCol w:w="617"/>
        <w:gridCol w:w="619"/>
        <w:gridCol w:w="1248"/>
        <w:gridCol w:w="1907"/>
        <w:gridCol w:w="1461"/>
        <w:gridCol w:w="1145"/>
        <w:gridCol w:w="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49" w:type="pct"/>
            <w:noWrap w:val="0"/>
            <w:vAlign w:val="center"/>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511" w:type="pct"/>
            <w:noWrap w:val="0"/>
            <w:vAlign w:val="center"/>
          </w:tcPr>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物品名称</w:t>
            </w:r>
          </w:p>
        </w:tc>
        <w:tc>
          <w:tcPr>
            <w:tcW w:w="310" w:type="pct"/>
            <w:noWrap w:val="0"/>
            <w:vAlign w:val="center"/>
          </w:tcPr>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品牌</w:t>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型号</w:t>
            </w:r>
          </w:p>
        </w:tc>
        <w:tc>
          <w:tcPr>
            <w:tcW w:w="310" w:type="pct"/>
            <w:noWrap w:val="0"/>
            <w:vAlign w:val="center"/>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311" w:type="pct"/>
            <w:noWrap w:val="0"/>
            <w:vAlign w:val="center"/>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623" w:type="pct"/>
            <w:noWrap w:val="0"/>
            <w:vAlign w:val="center"/>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单价（元）</w:t>
            </w:r>
          </w:p>
        </w:tc>
        <w:tc>
          <w:tcPr>
            <w:tcW w:w="958" w:type="pct"/>
            <w:noWrap w:val="0"/>
            <w:vAlign w:val="center"/>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合计费用（元/月）</w:t>
            </w:r>
          </w:p>
        </w:tc>
        <w:tc>
          <w:tcPr>
            <w:tcW w:w="734" w:type="pct"/>
            <w:noWrap w:val="0"/>
            <w:vAlign w:val="center"/>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合计费用（元/年）</w:t>
            </w:r>
          </w:p>
        </w:tc>
        <w:tc>
          <w:tcPr>
            <w:tcW w:w="575" w:type="pct"/>
            <w:noWrap w:val="0"/>
            <w:vAlign w:val="center"/>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Cs w:val="21"/>
                <w:highlight w:val="none"/>
              </w:rPr>
              <w:t>合计费用</w:t>
            </w:r>
            <w:r>
              <w:rPr>
                <w:rFonts w:hint="eastAsia" w:ascii="仿宋" w:hAnsi="仿宋" w:eastAsia="仿宋" w:cs="仿宋"/>
                <w:b/>
                <w:color w:val="auto"/>
                <w:sz w:val="24"/>
                <w:szCs w:val="24"/>
                <w:highlight w:val="none"/>
              </w:rPr>
              <w:t>（元/</w:t>
            </w: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rPr>
              <w:t>年）</w:t>
            </w:r>
          </w:p>
        </w:tc>
        <w:tc>
          <w:tcPr>
            <w:tcW w:w="313" w:type="pct"/>
            <w:noWrap w:val="0"/>
            <w:vAlign w:val="center"/>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49" w:type="pct"/>
            <w:noWrap w:val="0"/>
            <w:vAlign w:val="center"/>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11" w:type="pct"/>
            <w:noWrap w:val="0"/>
            <w:vAlign w:val="center"/>
          </w:tcPr>
          <w:p>
            <w:pPr>
              <w:jc w:val="center"/>
              <w:rPr>
                <w:rFonts w:hint="eastAsia" w:ascii="仿宋" w:hAnsi="仿宋" w:eastAsia="仿宋" w:cs="仿宋"/>
                <w:b/>
                <w:color w:val="auto"/>
                <w:sz w:val="24"/>
                <w:szCs w:val="24"/>
                <w:highlight w:val="none"/>
              </w:rPr>
            </w:pPr>
          </w:p>
        </w:tc>
        <w:tc>
          <w:tcPr>
            <w:tcW w:w="310" w:type="pct"/>
            <w:noWrap w:val="0"/>
            <w:vAlign w:val="center"/>
          </w:tcPr>
          <w:p>
            <w:pPr>
              <w:jc w:val="center"/>
              <w:rPr>
                <w:rFonts w:hint="eastAsia" w:ascii="仿宋" w:hAnsi="仿宋" w:eastAsia="仿宋" w:cs="仿宋"/>
                <w:b/>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1" w:type="pct"/>
            <w:noWrap w:val="0"/>
            <w:vAlign w:val="center"/>
          </w:tcPr>
          <w:p>
            <w:pPr>
              <w:jc w:val="center"/>
              <w:rPr>
                <w:rFonts w:hint="eastAsia" w:ascii="仿宋" w:hAnsi="仿宋" w:eastAsia="仿宋" w:cs="仿宋"/>
                <w:color w:val="auto"/>
                <w:sz w:val="24"/>
                <w:szCs w:val="24"/>
                <w:highlight w:val="none"/>
              </w:rPr>
            </w:pPr>
          </w:p>
        </w:tc>
        <w:tc>
          <w:tcPr>
            <w:tcW w:w="623" w:type="pct"/>
            <w:noWrap w:val="0"/>
            <w:vAlign w:val="center"/>
          </w:tcPr>
          <w:p>
            <w:pPr>
              <w:jc w:val="center"/>
              <w:rPr>
                <w:rFonts w:hint="eastAsia" w:ascii="仿宋" w:hAnsi="仿宋" w:eastAsia="仿宋" w:cs="仿宋"/>
                <w:color w:val="auto"/>
                <w:sz w:val="24"/>
                <w:szCs w:val="24"/>
                <w:highlight w:val="none"/>
              </w:rPr>
            </w:pPr>
          </w:p>
        </w:tc>
        <w:tc>
          <w:tcPr>
            <w:tcW w:w="958" w:type="pct"/>
            <w:noWrap w:val="0"/>
            <w:vAlign w:val="center"/>
          </w:tcPr>
          <w:p>
            <w:pPr>
              <w:jc w:val="center"/>
              <w:rPr>
                <w:rFonts w:hint="eastAsia" w:ascii="仿宋" w:hAnsi="仿宋" w:eastAsia="仿宋" w:cs="仿宋"/>
                <w:color w:val="auto"/>
                <w:sz w:val="24"/>
                <w:szCs w:val="24"/>
                <w:highlight w:val="none"/>
              </w:rPr>
            </w:pPr>
          </w:p>
        </w:tc>
        <w:tc>
          <w:tcPr>
            <w:tcW w:w="734" w:type="pct"/>
            <w:noWrap w:val="0"/>
            <w:vAlign w:val="center"/>
          </w:tcPr>
          <w:p>
            <w:pPr>
              <w:jc w:val="center"/>
              <w:rPr>
                <w:rFonts w:hint="eastAsia" w:ascii="仿宋" w:hAnsi="仿宋" w:eastAsia="仿宋" w:cs="仿宋"/>
                <w:color w:val="auto"/>
                <w:sz w:val="24"/>
                <w:szCs w:val="24"/>
                <w:highlight w:val="none"/>
              </w:rPr>
            </w:pPr>
          </w:p>
        </w:tc>
        <w:tc>
          <w:tcPr>
            <w:tcW w:w="575" w:type="pct"/>
            <w:noWrap w:val="0"/>
            <w:vAlign w:val="center"/>
          </w:tcPr>
          <w:p>
            <w:pPr>
              <w:jc w:val="center"/>
              <w:rPr>
                <w:rFonts w:hint="eastAsia" w:ascii="仿宋" w:hAnsi="仿宋" w:eastAsia="仿宋" w:cs="仿宋"/>
                <w:color w:val="auto"/>
                <w:sz w:val="24"/>
                <w:szCs w:val="24"/>
                <w:highlight w:val="none"/>
              </w:rPr>
            </w:pPr>
          </w:p>
        </w:tc>
        <w:tc>
          <w:tcPr>
            <w:tcW w:w="313" w:type="pct"/>
            <w:noWrap w:val="0"/>
            <w:vAlign w:val="center"/>
          </w:tcPr>
          <w:p>
            <w:pPr>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349" w:type="pct"/>
            <w:noWrap w:val="0"/>
            <w:vAlign w:val="center"/>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11" w:type="pct"/>
            <w:noWrap w:val="0"/>
            <w:vAlign w:val="center"/>
          </w:tcPr>
          <w:p>
            <w:pPr>
              <w:jc w:val="center"/>
              <w:rPr>
                <w:rFonts w:hint="eastAsia" w:ascii="仿宋" w:hAnsi="仿宋" w:eastAsia="仿宋" w:cs="仿宋"/>
                <w:b/>
                <w:color w:val="auto"/>
                <w:sz w:val="24"/>
                <w:szCs w:val="24"/>
                <w:highlight w:val="none"/>
              </w:rPr>
            </w:pPr>
          </w:p>
        </w:tc>
        <w:tc>
          <w:tcPr>
            <w:tcW w:w="310" w:type="pct"/>
            <w:noWrap w:val="0"/>
            <w:vAlign w:val="center"/>
          </w:tcPr>
          <w:p>
            <w:pPr>
              <w:jc w:val="center"/>
              <w:rPr>
                <w:rFonts w:hint="eastAsia" w:ascii="仿宋" w:hAnsi="仿宋" w:eastAsia="仿宋" w:cs="仿宋"/>
                <w:b/>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1" w:type="pct"/>
            <w:noWrap w:val="0"/>
            <w:vAlign w:val="center"/>
          </w:tcPr>
          <w:p>
            <w:pPr>
              <w:jc w:val="center"/>
              <w:rPr>
                <w:rFonts w:hint="eastAsia" w:ascii="仿宋" w:hAnsi="仿宋" w:eastAsia="仿宋" w:cs="仿宋"/>
                <w:color w:val="auto"/>
                <w:sz w:val="24"/>
                <w:szCs w:val="24"/>
                <w:highlight w:val="none"/>
              </w:rPr>
            </w:pPr>
          </w:p>
        </w:tc>
        <w:tc>
          <w:tcPr>
            <w:tcW w:w="623" w:type="pct"/>
            <w:noWrap w:val="0"/>
            <w:vAlign w:val="center"/>
          </w:tcPr>
          <w:p>
            <w:pPr>
              <w:jc w:val="center"/>
              <w:rPr>
                <w:rFonts w:hint="eastAsia" w:ascii="仿宋" w:hAnsi="仿宋" w:eastAsia="仿宋" w:cs="仿宋"/>
                <w:color w:val="auto"/>
                <w:sz w:val="24"/>
                <w:szCs w:val="24"/>
                <w:highlight w:val="none"/>
              </w:rPr>
            </w:pPr>
          </w:p>
        </w:tc>
        <w:tc>
          <w:tcPr>
            <w:tcW w:w="958" w:type="pct"/>
            <w:noWrap w:val="0"/>
            <w:vAlign w:val="center"/>
          </w:tcPr>
          <w:p>
            <w:pPr>
              <w:jc w:val="center"/>
              <w:rPr>
                <w:rFonts w:hint="eastAsia" w:ascii="仿宋" w:hAnsi="仿宋" w:eastAsia="仿宋" w:cs="仿宋"/>
                <w:color w:val="auto"/>
                <w:sz w:val="24"/>
                <w:szCs w:val="24"/>
                <w:highlight w:val="none"/>
              </w:rPr>
            </w:pPr>
          </w:p>
        </w:tc>
        <w:tc>
          <w:tcPr>
            <w:tcW w:w="734" w:type="pct"/>
            <w:noWrap w:val="0"/>
            <w:vAlign w:val="center"/>
          </w:tcPr>
          <w:p>
            <w:pPr>
              <w:jc w:val="center"/>
              <w:rPr>
                <w:rFonts w:hint="eastAsia" w:ascii="仿宋" w:hAnsi="仿宋" w:eastAsia="仿宋" w:cs="仿宋"/>
                <w:color w:val="auto"/>
                <w:sz w:val="24"/>
                <w:szCs w:val="24"/>
                <w:highlight w:val="none"/>
              </w:rPr>
            </w:pPr>
          </w:p>
        </w:tc>
        <w:tc>
          <w:tcPr>
            <w:tcW w:w="575" w:type="pct"/>
            <w:noWrap w:val="0"/>
            <w:vAlign w:val="center"/>
          </w:tcPr>
          <w:p>
            <w:pPr>
              <w:jc w:val="center"/>
              <w:rPr>
                <w:rFonts w:hint="eastAsia" w:ascii="仿宋" w:hAnsi="仿宋" w:eastAsia="仿宋" w:cs="仿宋"/>
                <w:color w:val="auto"/>
                <w:sz w:val="24"/>
                <w:szCs w:val="24"/>
                <w:highlight w:val="none"/>
              </w:rPr>
            </w:pPr>
          </w:p>
        </w:tc>
        <w:tc>
          <w:tcPr>
            <w:tcW w:w="313" w:type="pct"/>
            <w:noWrap w:val="0"/>
            <w:vAlign w:val="center"/>
          </w:tcPr>
          <w:p>
            <w:pPr>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49" w:type="pct"/>
            <w:noWrap w:val="0"/>
            <w:vAlign w:val="center"/>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511" w:type="pct"/>
            <w:noWrap w:val="0"/>
            <w:vAlign w:val="center"/>
          </w:tcPr>
          <w:p>
            <w:pPr>
              <w:jc w:val="center"/>
              <w:rPr>
                <w:rFonts w:hint="eastAsia" w:ascii="仿宋" w:hAnsi="仿宋" w:eastAsia="仿宋" w:cs="仿宋"/>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1" w:type="pct"/>
            <w:noWrap w:val="0"/>
            <w:vAlign w:val="center"/>
          </w:tcPr>
          <w:p>
            <w:pPr>
              <w:jc w:val="center"/>
              <w:rPr>
                <w:rFonts w:hint="eastAsia" w:ascii="仿宋" w:hAnsi="仿宋" w:eastAsia="仿宋" w:cs="仿宋"/>
                <w:color w:val="auto"/>
                <w:sz w:val="24"/>
                <w:szCs w:val="24"/>
                <w:highlight w:val="none"/>
              </w:rPr>
            </w:pPr>
          </w:p>
        </w:tc>
        <w:tc>
          <w:tcPr>
            <w:tcW w:w="623" w:type="pct"/>
            <w:noWrap w:val="0"/>
            <w:vAlign w:val="center"/>
          </w:tcPr>
          <w:p>
            <w:pPr>
              <w:jc w:val="center"/>
              <w:rPr>
                <w:rFonts w:hint="eastAsia" w:ascii="仿宋" w:hAnsi="仿宋" w:eastAsia="仿宋" w:cs="仿宋"/>
                <w:color w:val="auto"/>
                <w:sz w:val="24"/>
                <w:szCs w:val="24"/>
                <w:highlight w:val="none"/>
              </w:rPr>
            </w:pPr>
          </w:p>
        </w:tc>
        <w:tc>
          <w:tcPr>
            <w:tcW w:w="958" w:type="pct"/>
            <w:noWrap w:val="0"/>
            <w:vAlign w:val="center"/>
          </w:tcPr>
          <w:p>
            <w:pPr>
              <w:jc w:val="center"/>
              <w:rPr>
                <w:rFonts w:hint="eastAsia" w:ascii="仿宋" w:hAnsi="仿宋" w:eastAsia="仿宋" w:cs="仿宋"/>
                <w:color w:val="auto"/>
                <w:sz w:val="24"/>
                <w:szCs w:val="24"/>
                <w:highlight w:val="none"/>
              </w:rPr>
            </w:pPr>
          </w:p>
        </w:tc>
        <w:tc>
          <w:tcPr>
            <w:tcW w:w="734" w:type="pct"/>
            <w:noWrap w:val="0"/>
            <w:vAlign w:val="center"/>
          </w:tcPr>
          <w:p>
            <w:pPr>
              <w:jc w:val="center"/>
              <w:rPr>
                <w:rFonts w:hint="eastAsia" w:ascii="仿宋" w:hAnsi="仿宋" w:eastAsia="仿宋" w:cs="仿宋"/>
                <w:color w:val="auto"/>
                <w:sz w:val="24"/>
                <w:szCs w:val="24"/>
                <w:highlight w:val="none"/>
              </w:rPr>
            </w:pPr>
          </w:p>
        </w:tc>
        <w:tc>
          <w:tcPr>
            <w:tcW w:w="575" w:type="pct"/>
            <w:noWrap w:val="0"/>
            <w:vAlign w:val="center"/>
          </w:tcPr>
          <w:p>
            <w:pPr>
              <w:jc w:val="center"/>
              <w:rPr>
                <w:rFonts w:hint="eastAsia" w:ascii="仿宋" w:hAnsi="仿宋" w:eastAsia="仿宋" w:cs="仿宋"/>
                <w:color w:val="auto"/>
                <w:sz w:val="24"/>
                <w:szCs w:val="24"/>
                <w:highlight w:val="none"/>
              </w:rPr>
            </w:pPr>
          </w:p>
        </w:tc>
        <w:tc>
          <w:tcPr>
            <w:tcW w:w="313" w:type="pct"/>
            <w:noWrap w:val="0"/>
            <w:vAlign w:val="center"/>
          </w:tcPr>
          <w:p>
            <w:pPr>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49" w:type="pct"/>
            <w:noWrap w:val="0"/>
            <w:vAlign w:val="center"/>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511" w:type="pct"/>
            <w:noWrap w:val="0"/>
            <w:vAlign w:val="center"/>
          </w:tcPr>
          <w:p>
            <w:pPr>
              <w:jc w:val="center"/>
              <w:rPr>
                <w:rFonts w:hint="eastAsia" w:ascii="仿宋" w:hAnsi="仿宋" w:eastAsia="仿宋" w:cs="仿宋"/>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1" w:type="pct"/>
            <w:noWrap w:val="0"/>
            <w:vAlign w:val="center"/>
          </w:tcPr>
          <w:p>
            <w:pPr>
              <w:jc w:val="center"/>
              <w:rPr>
                <w:rFonts w:hint="eastAsia" w:ascii="仿宋" w:hAnsi="仿宋" w:eastAsia="仿宋" w:cs="仿宋"/>
                <w:color w:val="auto"/>
                <w:sz w:val="24"/>
                <w:szCs w:val="24"/>
                <w:highlight w:val="none"/>
              </w:rPr>
            </w:pPr>
          </w:p>
        </w:tc>
        <w:tc>
          <w:tcPr>
            <w:tcW w:w="623" w:type="pct"/>
            <w:noWrap w:val="0"/>
            <w:vAlign w:val="center"/>
          </w:tcPr>
          <w:p>
            <w:pPr>
              <w:jc w:val="center"/>
              <w:rPr>
                <w:rFonts w:hint="eastAsia" w:ascii="仿宋" w:hAnsi="仿宋" w:eastAsia="仿宋" w:cs="仿宋"/>
                <w:color w:val="auto"/>
                <w:sz w:val="24"/>
                <w:szCs w:val="24"/>
                <w:highlight w:val="none"/>
              </w:rPr>
            </w:pPr>
          </w:p>
        </w:tc>
        <w:tc>
          <w:tcPr>
            <w:tcW w:w="958" w:type="pct"/>
            <w:noWrap w:val="0"/>
            <w:vAlign w:val="center"/>
          </w:tcPr>
          <w:p>
            <w:pPr>
              <w:jc w:val="center"/>
              <w:rPr>
                <w:rFonts w:hint="eastAsia" w:ascii="仿宋" w:hAnsi="仿宋" w:eastAsia="仿宋" w:cs="仿宋"/>
                <w:color w:val="auto"/>
                <w:sz w:val="24"/>
                <w:szCs w:val="24"/>
                <w:highlight w:val="none"/>
              </w:rPr>
            </w:pPr>
          </w:p>
        </w:tc>
        <w:tc>
          <w:tcPr>
            <w:tcW w:w="734" w:type="pct"/>
            <w:noWrap w:val="0"/>
            <w:vAlign w:val="center"/>
          </w:tcPr>
          <w:p>
            <w:pPr>
              <w:jc w:val="center"/>
              <w:rPr>
                <w:rFonts w:hint="eastAsia" w:ascii="仿宋" w:hAnsi="仿宋" w:eastAsia="仿宋" w:cs="仿宋"/>
                <w:color w:val="auto"/>
                <w:sz w:val="24"/>
                <w:szCs w:val="24"/>
                <w:highlight w:val="none"/>
              </w:rPr>
            </w:pPr>
          </w:p>
        </w:tc>
        <w:tc>
          <w:tcPr>
            <w:tcW w:w="575" w:type="pct"/>
            <w:noWrap w:val="0"/>
            <w:vAlign w:val="center"/>
          </w:tcPr>
          <w:p>
            <w:pPr>
              <w:jc w:val="center"/>
              <w:rPr>
                <w:rFonts w:hint="eastAsia" w:ascii="仿宋" w:hAnsi="仿宋" w:eastAsia="仿宋" w:cs="仿宋"/>
                <w:color w:val="auto"/>
                <w:sz w:val="24"/>
                <w:szCs w:val="24"/>
                <w:highlight w:val="none"/>
              </w:rPr>
            </w:pPr>
          </w:p>
        </w:tc>
        <w:tc>
          <w:tcPr>
            <w:tcW w:w="313" w:type="pct"/>
            <w:noWrap w:val="0"/>
            <w:vAlign w:val="center"/>
          </w:tcPr>
          <w:p>
            <w:pPr>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49" w:type="pct"/>
            <w:noWrap w:val="0"/>
            <w:vAlign w:val="center"/>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511" w:type="pct"/>
            <w:noWrap w:val="0"/>
            <w:vAlign w:val="center"/>
          </w:tcPr>
          <w:p>
            <w:pPr>
              <w:jc w:val="center"/>
              <w:rPr>
                <w:rFonts w:hint="eastAsia" w:ascii="仿宋" w:hAnsi="仿宋" w:eastAsia="仿宋" w:cs="仿宋"/>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1" w:type="pct"/>
            <w:noWrap w:val="0"/>
            <w:vAlign w:val="center"/>
          </w:tcPr>
          <w:p>
            <w:pPr>
              <w:jc w:val="center"/>
              <w:rPr>
                <w:rFonts w:hint="eastAsia" w:ascii="仿宋" w:hAnsi="仿宋" w:eastAsia="仿宋" w:cs="仿宋"/>
                <w:color w:val="auto"/>
                <w:sz w:val="24"/>
                <w:szCs w:val="24"/>
                <w:highlight w:val="none"/>
              </w:rPr>
            </w:pPr>
          </w:p>
        </w:tc>
        <w:tc>
          <w:tcPr>
            <w:tcW w:w="623" w:type="pct"/>
            <w:noWrap w:val="0"/>
            <w:vAlign w:val="center"/>
          </w:tcPr>
          <w:p>
            <w:pPr>
              <w:jc w:val="center"/>
              <w:rPr>
                <w:rFonts w:hint="eastAsia" w:ascii="仿宋" w:hAnsi="仿宋" w:eastAsia="仿宋" w:cs="仿宋"/>
                <w:color w:val="auto"/>
                <w:sz w:val="24"/>
                <w:szCs w:val="24"/>
                <w:highlight w:val="none"/>
              </w:rPr>
            </w:pPr>
          </w:p>
        </w:tc>
        <w:tc>
          <w:tcPr>
            <w:tcW w:w="958" w:type="pct"/>
            <w:noWrap w:val="0"/>
            <w:vAlign w:val="center"/>
          </w:tcPr>
          <w:p>
            <w:pPr>
              <w:jc w:val="center"/>
              <w:rPr>
                <w:rFonts w:hint="eastAsia" w:ascii="仿宋" w:hAnsi="仿宋" w:eastAsia="仿宋" w:cs="仿宋"/>
                <w:color w:val="auto"/>
                <w:sz w:val="24"/>
                <w:szCs w:val="24"/>
                <w:highlight w:val="none"/>
              </w:rPr>
            </w:pPr>
          </w:p>
        </w:tc>
        <w:tc>
          <w:tcPr>
            <w:tcW w:w="734" w:type="pct"/>
            <w:noWrap w:val="0"/>
            <w:vAlign w:val="center"/>
          </w:tcPr>
          <w:p>
            <w:pPr>
              <w:jc w:val="center"/>
              <w:rPr>
                <w:rFonts w:hint="eastAsia" w:ascii="仿宋" w:hAnsi="仿宋" w:eastAsia="仿宋" w:cs="仿宋"/>
                <w:color w:val="auto"/>
                <w:sz w:val="24"/>
                <w:szCs w:val="24"/>
                <w:highlight w:val="none"/>
              </w:rPr>
            </w:pPr>
          </w:p>
        </w:tc>
        <w:tc>
          <w:tcPr>
            <w:tcW w:w="575" w:type="pct"/>
            <w:noWrap w:val="0"/>
            <w:vAlign w:val="center"/>
          </w:tcPr>
          <w:p>
            <w:pPr>
              <w:jc w:val="center"/>
              <w:rPr>
                <w:rFonts w:hint="eastAsia" w:ascii="仿宋" w:hAnsi="仿宋" w:eastAsia="仿宋" w:cs="仿宋"/>
                <w:color w:val="auto"/>
                <w:sz w:val="24"/>
                <w:szCs w:val="24"/>
                <w:highlight w:val="none"/>
              </w:rPr>
            </w:pPr>
          </w:p>
        </w:tc>
        <w:tc>
          <w:tcPr>
            <w:tcW w:w="313" w:type="pct"/>
            <w:noWrap w:val="0"/>
            <w:vAlign w:val="center"/>
          </w:tcPr>
          <w:p>
            <w:pPr>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49" w:type="pct"/>
            <w:noWrap w:val="0"/>
            <w:vAlign w:val="center"/>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511" w:type="pct"/>
            <w:noWrap w:val="0"/>
            <w:vAlign w:val="center"/>
          </w:tcPr>
          <w:p>
            <w:pPr>
              <w:jc w:val="center"/>
              <w:rPr>
                <w:rFonts w:hint="eastAsia" w:ascii="仿宋" w:hAnsi="仿宋" w:eastAsia="仿宋" w:cs="仿宋"/>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1" w:type="pct"/>
            <w:noWrap w:val="0"/>
            <w:vAlign w:val="center"/>
          </w:tcPr>
          <w:p>
            <w:pPr>
              <w:jc w:val="center"/>
              <w:rPr>
                <w:rFonts w:hint="eastAsia" w:ascii="仿宋" w:hAnsi="仿宋" w:eastAsia="仿宋" w:cs="仿宋"/>
                <w:color w:val="auto"/>
                <w:sz w:val="24"/>
                <w:szCs w:val="24"/>
                <w:highlight w:val="none"/>
              </w:rPr>
            </w:pPr>
          </w:p>
        </w:tc>
        <w:tc>
          <w:tcPr>
            <w:tcW w:w="623" w:type="pct"/>
            <w:noWrap w:val="0"/>
            <w:vAlign w:val="center"/>
          </w:tcPr>
          <w:p>
            <w:pPr>
              <w:jc w:val="center"/>
              <w:rPr>
                <w:rFonts w:hint="eastAsia" w:ascii="仿宋" w:hAnsi="仿宋" w:eastAsia="仿宋" w:cs="仿宋"/>
                <w:color w:val="auto"/>
                <w:sz w:val="24"/>
                <w:szCs w:val="24"/>
                <w:highlight w:val="none"/>
              </w:rPr>
            </w:pPr>
          </w:p>
        </w:tc>
        <w:tc>
          <w:tcPr>
            <w:tcW w:w="958" w:type="pct"/>
            <w:noWrap w:val="0"/>
            <w:vAlign w:val="center"/>
          </w:tcPr>
          <w:p>
            <w:pPr>
              <w:jc w:val="center"/>
              <w:rPr>
                <w:rFonts w:hint="eastAsia" w:ascii="仿宋" w:hAnsi="仿宋" w:eastAsia="仿宋" w:cs="仿宋"/>
                <w:color w:val="auto"/>
                <w:sz w:val="24"/>
                <w:szCs w:val="24"/>
                <w:highlight w:val="none"/>
              </w:rPr>
            </w:pPr>
          </w:p>
        </w:tc>
        <w:tc>
          <w:tcPr>
            <w:tcW w:w="734" w:type="pct"/>
            <w:noWrap w:val="0"/>
            <w:vAlign w:val="center"/>
          </w:tcPr>
          <w:p>
            <w:pPr>
              <w:jc w:val="center"/>
              <w:rPr>
                <w:rFonts w:hint="eastAsia" w:ascii="仿宋" w:hAnsi="仿宋" w:eastAsia="仿宋" w:cs="仿宋"/>
                <w:color w:val="auto"/>
                <w:sz w:val="24"/>
                <w:szCs w:val="24"/>
                <w:highlight w:val="none"/>
              </w:rPr>
            </w:pPr>
          </w:p>
        </w:tc>
        <w:tc>
          <w:tcPr>
            <w:tcW w:w="575" w:type="pct"/>
            <w:noWrap w:val="0"/>
            <w:vAlign w:val="center"/>
          </w:tcPr>
          <w:p>
            <w:pPr>
              <w:jc w:val="center"/>
              <w:rPr>
                <w:rFonts w:hint="eastAsia" w:ascii="仿宋" w:hAnsi="仿宋" w:eastAsia="仿宋" w:cs="仿宋"/>
                <w:color w:val="auto"/>
                <w:sz w:val="24"/>
                <w:szCs w:val="24"/>
                <w:highlight w:val="none"/>
              </w:rPr>
            </w:pPr>
          </w:p>
        </w:tc>
        <w:tc>
          <w:tcPr>
            <w:tcW w:w="313" w:type="pct"/>
            <w:noWrap w:val="0"/>
            <w:vAlign w:val="center"/>
          </w:tcPr>
          <w:p>
            <w:pPr>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49" w:type="pct"/>
            <w:noWrap w:val="0"/>
            <w:vAlign w:val="center"/>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511" w:type="pct"/>
            <w:noWrap w:val="0"/>
            <w:vAlign w:val="center"/>
          </w:tcPr>
          <w:p>
            <w:pPr>
              <w:jc w:val="center"/>
              <w:rPr>
                <w:rFonts w:hint="eastAsia" w:ascii="仿宋" w:hAnsi="仿宋" w:eastAsia="仿宋" w:cs="仿宋"/>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0" w:type="pct"/>
            <w:noWrap w:val="0"/>
            <w:vAlign w:val="center"/>
          </w:tcPr>
          <w:p>
            <w:pPr>
              <w:jc w:val="center"/>
              <w:rPr>
                <w:rFonts w:hint="eastAsia" w:ascii="仿宋" w:hAnsi="仿宋" w:eastAsia="仿宋" w:cs="仿宋"/>
                <w:color w:val="auto"/>
                <w:sz w:val="24"/>
                <w:szCs w:val="24"/>
                <w:highlight w:val="none"/>
              </w:rPr>
            </w:pPr>
          </w:p>
        </w:tc>
        <w:tc>
          <w:tcPr>
            <w:tcW w:w="311" w:type="pct"/>
            <w:noWrap w:val="0"/>
            <w:vAlign w:val="center"/>
          </w:tcPr>
          <w:p>
            <w:pPr>
              <w:jc w:val="center"/>
              <w:rPr>
                <w:rFonts w:hint="eastAsia" w:ascii="仿宋" w:hAnsi="仿宋" w:eastAsia="仿宋" w:cs="仿宋"/>
                <w:color w:val="auto"/>
                <w:sz w:val="24"/>
                <w:szCs w:val="24"/>
                <w:highlight w:val="none"/>
              </w:rPr>
            </w:pPr>
          </w:p>
        </w:tc>
        <w:tc>
          <w:tcPr>
            <w:tcW w:w="623" w:type="pct"/>
            <w:noWrap w:val="0"/>
            <w:vAlign w:val="center"/>
          </w:tcPr>
          <w:p>
            <w:pPr>
              <w:jc w:val="center"/>
              <w:rPr>
                <w:rFonts w:hint="eastAsia" w:ascii="仿宋" w:hAnsi="仿宋" w:eastAsia="仿宋" w:cs="仿宋"/>
                <w:color w:val="auto"/>
                <w:sz w:val="24"/>
                <w:szCs w:val="24"/>
                <w:highlight w:val="none"/>
              </w:rPr>
            </w:pPr>
          </w:p>
        </w:tc>
        <w:tc>
          <w:tcPr>
            <w:tcW w:w="958" w:type="pct"/>
            <w:noWrap w:val="0"/>
            <w:vAlign w:val="center"/>
          </w:tcPr>
          <w:p>
            <w:pPr>
              <w:jc w:val="center"/>
              <w:rPr>
                <w:rFonts w:hint="eastAsia" w:ascii="仿宋" w:hAnsi="仿宋" w:eastAsia="仿宋" w:cs="仿宋"/>
                <w:color w:val="auto"/>
                <w:sz w:val="24"/>
                <w:szCs w:val="24"/>
                <w:highlight w:val="none"/>
              </w:rPr>
            </w:pPr>
          </w:p>
        </w:tc>
        <w:tc>
          <w:tcPr>
            <w:tcW w:w="734" w:type="pct"/>
            <w:noWrap w:val="0"/>
            <w:vAlign w:val="center"/>
          </w:tcPr>
          <w:p>
            <w:pPr>
              <w:jc w:val="center"/>
              <w:rPr>
                <w:rFonts w:hint="eastAsia" w:ascii="仿宋" w:hAnsi="仿宋" w:eastAsia="仿宋" w:cs="仿宋"/>
                <w:color w:val="auto"/>
                <w:sz w:val="24"/>
                <w:szCs w:val="24"/>
                <w:highlight w:val="none"/>
              </w:rPr>
            </w:pPr>
          </w:p>
        </w:tc>
        <w:tc>
          <w:tcPr>
            <w:tcW w:w="575" w:type="pct"/>
            <w:noWrap w:val="0"/>
            <w:vAlign w:val="center"/>
          </w:tcPr>
          <w:p>
            <w:pPr>
              <w:jc w:val="center"/>
              <w:rPr>
                <w:rFonts w:hint="eastAsia" w:ascii="仿宋" w:hAnsi="仿宋" w:eastAsia="仿宋" w:cs="仿宋"/>
                <w:color w:val="auto"/>
                <w:sz w:val="24"/>
                <w:szCs w:val="24"/>
                <w:highlight w:val="none"/>
              </w:rPr>
            </w:pPr>
          </w:p>
        </w:tc>
        <w:tc>
          <w:tcPr>
            <w:tcW w:w="313" w:type="pct"/>
            <w:noWrap w:val="0"/>
            <w:vAlign w:val="center"/>
          </w:tcPr>
          <w:p>
            <w:pPr>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jc w:val="center"/>
        </w:trPr>
        <w:tc>
          <w:tcPr>
            <w:tcW w:w="2418" w:type="pct"/>
            <w:gridSpan w:val="6"/>
            <w:noWrap w:val="0"/>
            <w:vAlign w:val="center"/>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958" w:type="pct"/>
            <w:noWrap w:val="0"/>
            <w:vAlign w:val="center"/>
          </w:tcPr>
          <w:p>
            <w:pPr>
              <w:jc w:val="center"/>
              <w:rPr>
                <w:rFonts w:hint="eastAsia" w:ascii="仿宋" w:hAnsi="仿宋" w:eastAsia="仿宋" w:cs="仿宋"/>
                <w:color w:val="auto"/>
                <w:sz w:val="24"/>
                <w:szCs w:val="24"/>
                <w:highlight w:val="none"/>
              </w:rPr>
            </w:pPr>
          </w:p>
        </w:tc>
        <w:tc>
          <w:tcPr>
            <w:tcW w:w="734" w:type="pct"/>
            <w:noWrap w:val="0"/>
            <w:vAlign w:val="center"/>
          </w:tcPr>
          <w:p>
            <w:pPr>
              <w:jc w:val="center"/>
              <w:rPr>
                <w:rFonts w:hint="eastAsia" w:ascii="仿宋" w:hAnsi="仿宋" w:eastAsia="仿宋" w:cs="仿宋"/>
                <w:color w:val="auto"/>
                <w:sz w:val="24"/>
                <w:szCs w:val="24"/>
                <w:highlight w:val="none"/>
              </w:rPr>
            </w:pPr>
          </w:p>
        </w:tc>
        <w:tc>
          <w:tcPr>
            <w:tcW w:w="575" w:type="pct"/>
            <w:noWrap w:val="0"/>
            <w:vAlign w:val="center"/>
          </w:tcPr>
          <w:p>
            <w:pPr>
              <w:jc w:val="center"/>
              <w:rPr>
                <w:rFonts w:hint="eastAsia" w:ascii="仿宋" w:hAnsi="仿宋" w:eastAsia="仿宋" w:cs="仿宋"/>
                <w:color w:val="auto"/>
                <w:sz w:val="24"/>
                <w:szCs w:val="24"/>
                <w:highlight w:val="none"/>
              </w:rPr>
            </w:pPr>
          </w:p>
        </w:tc>
        <w:tc>
          <w:tcPr>
            <w:tcW w:w="313" w:type="pct"/>
            <w:noWrap w:val="0"/>
            <w:vAlign w:val="center"/>
          </w:tcPr>
          <w:p>
            <w:pPr>
              <w:jc w:val="center"/>
              <w:rPr>
                <w:rFonts w:hint="eastAsia" w:ascii="仿宋" w:hAnsi="仿宋" w:eastAsia="仿宋" w:cs="仿宋"/>
                <w:color w:val="auto"/>
                <w:sz w:val="24"/>
                <w:szCs w:val="24"/>
                <w:highlight w:val="none"/>
              </w:rPr>
            </w:pPr>
          </w:p>
        </w:tc>
      </w:tr>
    </w:tbl>
    <w:p>
      <w:pPr>
        <w:spacing w:line="400" w:lineRule="exact"/>
        <w:rPr>
          <w:rFonts w:hint="eastAsia" w:ascii="仿宋" w:hAnsi="仿宋" w:eastAsia="仿宋" w:cs="仿宋"/>
          <w:bCs/>
          <w:color w:val="auto"/>
          <w:szCs w:val="21"/>
          <w:highlight w:val="none"/>
        </w:rPr>
      </w:pPr>
      <w:r>
        <w:rPr>
          <w:rFonts w:hint="eastAsia" w:ascii="仿宋" w:hAnsi="仿宋" w:eastAsia="仿宋" w:cs="仿宋"/>
          <w:b/>
          <w:bCs/>
          <w:color w:val="auto"/>
          <w:sz w:val="24"/>
          <w:szCs w:val="24"/>
          <w:highlight w:val="none"/>
        </w:rPr>
        <w:t>法定代表人或法定代表人授权代表签字或盖章：</w:t>
      </w:r>
    </w:p>
    <w:p>
      <w:pPr>
        <w:spacing w:line="400" w:lineRule="exact"/>
        <w:rPr>
          <w:rFonts w:hint="eastAsia" w:ascii="仿宋" w:hAnsi="仿宋" w:eastAsia="仿宋" w:cs="仿宋"/>
          <w:bCs/>
          <w:color w:val="auto"/>
          <w:szCs w:val="21"/>
          <w:highlight w:val="none"/>
        </w:rPr>
      </w:pPr>
    </w:p>
    <w:p>
      <w:pPr>
        <w:spacing w:line="400" w:lineRule="exact"/>
        <w:rPr>
          <w:rFonts w:hint="eastAsia" w:ascii="仿宋" w:hAnsi="仿宋" w:eastAsia="仿宋" w:cs="仿宋"/>
          <w:bCs/>
          <w:color w:val="auto"/>
          <w:sz w:val="24"/>
          <w:szCs w:val="16"/>
          <w:highlight w:val="none"/>
        </w:rPr>
      </w:pPr>
      <w:r>
        <w:rPr>
          <w:rFonts w:hint="eastAsia" w:ascii="仿宋" w:hAnsi="仿宋" w:eastAsia="仿宋" w:cs="仿宋"/>
          <w:bCs/>
          <w:color w:val="auto"/>
          <w:sz w:val="24"/>
          <w:szCs w:val="16"/>
          <w:highlight w:val="none"/>
        </w:rPr>
        <w:t>注：1、由投标人根据采购需求自行测算含在投标报价中。</w:t>
      </w:r>
    </w:p>
    <w:p>
      <w:pPr>
        <w:spacing w:line="400" w:lineRule="exact"/>
        <w:ind w:firstLine="315"/>
        <w:outlineLvl w:val="0"/>
        <w:rPr>
          <w:rFonts w:hint="eastAsia" w:ascii="仿宋" w:hAnsi="仿宋" w:eastAsia="仿宋" w:cs="仿宋"/>
          <w:bCs/>
          <w:color w:val="auto"/>
          <w:sz w:val="24"/>
          <w:szCs w:val="16"/>
          <w:highlight w:val="none"/>
        </w:rPr>
      </w:pPr>
      <w:r>
        <w:rPr>
          <w:rFonts w:hint="eastAsia" w:ascii="仿宋" w:hAnsi="仿宋" w:eastAsia="仿宋" w:cs="仿宋"/>
          <w:bCs/>
          <w:color w:val="auto"/>
          <w:sz w:val="24"/>
          <w:szCs w:val="16"/>
          <w:highlight w:val="none"/>
        </w:rPr>
        <w:t xml:space="preserve"> </w:t>
      </w:r>
      <w:r>
        <w:rPr>
          <w:rFonts w:hint="eastAsia" w:ascii="仿宋" w:hAnsi="仿宋" w:eastAsia="仿宋" w:cs="仿宋"/>
          <w:bCs/>
          <w:color w:val="auto"/>
          <w:sz w:val="24"/>
          <w:szCs w:val="16"/>
          <w:highlight w:val="none"/>
          <w:lang w:eastAsia="zh-CN"/>
        </w:rPr>
        <w:t>2.</w:t>
      </w:r>
      <w:r>
        <w:rPr>
          <w:rFonts w:hint="eastAsia" w:ascii="仿宋" w:hAnsi="仿宋" w:eastAsia="仿宋" w:cs="仿宋"/>
          <w:color w:val="auto"/>
          <w:sz w:val="24"/>
          <w:szCs w:val="16"/>
          <w:highlight w:val="none"/>
          <w:lang w:val="zh-CN"/>
        </w:rPr>
        <w:t>上表可自行延长。</w:t>
      </w:r>
    </w:p>
    <w:p>
      <w:pPr>
        <w:spacing w:before="5" w:line="360" w:lineRule="auto"/>
        <w:rPr>
          <w:rFonts w:hint="eastAsia" w:ascii="仿宋" w:hAnsi="仿宋" w:eastAsia="仿宋" w:cs="仿宋"/>
          <w:b/>
          <w:bCs/>
          <w:color w:val="auto"/>
          <w:sz w:val="24"/>
          <w:szCs w:val="24"/>
          <w:highlight w:val="none"/>
        </w:rPr>
      </w:pPr>
    </w:p>
    <w:p>
      <w:pPr>
        <w:spacing w:line="360" w:lineRule="auto"/>
        <w:ind w:firstLine="316"/>
        <w:rPr>
          <w:rFonts w:hint="eastAsia" w:ascii="仿宋" w:hAnsi="仿宋" w:eastAsia="仿宋" w:cs="仿宋"/>
          <w:b/>
          <w:color w:val="auto"/>
          <w:szCs w:val="21"/>
          <w:highlight w:val="none"/>
        </w:rPr>
      </w:pPr>
    </w:p>
    <w:p>
      <w:pPr>
        <w:spacing w:line="360" w:lineRule="auto"/>
        <w:rPr>
          <w:rFonts w:hint="eastAsia" w:ascii="仿宋" w:hAnsi="仿宋" w:eastAsia="仿宋" w:cs="仿宋"/>
          <w:bCs/>
          <w:color w:val="auto"/>
          <w:szCs w:val="21"/>
          <w:highlight w:val="none"/>
        </w:rPr>
      </w:pPr>
      <w:r>
        <w:rPr>
          <w:rFonts w:hint="eastAsia" w:ascii="仿宋" w:hAnsi="仿宋" w:eastAsia="仿宋" w:cs="仿宋"/>
          <w:b/>
          <w:color w:val="auto"/>
          <w:szCs w:val="21"/>
          <w:highlight w:val="none"/>
        </w:rPr>
        <w:t>注：</w:t>
      </w:r>
      <w:r>
        <w:rPr>
          <w:rFonts w:hint="eastAsia" w:ascii="仿宋" w:hAnsi="仿宋" w:eastAsia="仿宋" w:cs="仿宋"/>
          <w:bCs/>
          <w:color w:val="auto"/>
          <w:szCs w:val="21"/>
          <w:highlight w:val="none"/>
        </w:rPr>
        <w:t>（1）表格不够可自行延长。</w:t>
      </w:r>
    </w:p>
    <w:p>
      <w:pPr>
        <w:spacing w:line="400" w:lineRule="exact"/>
        <w:rPr>
          <w:rFonts w:hint="eastAsia" w:ascii="仿宋" w:hAnsi="仿宋" w:eastAsia="仿宋" w:cs="仿宋"/>
          <w:bCs/>
          <w:color w:val="auto"/>
          <w:sz w:val="24"/>
          <w:szCs w:val="24"/>
          <w:highlight w:val="none"/>
        </w:rPr>
      </w:pPr>
    </w:p>
    <w:p>
      <w:pPr>
        <w:keepNext/>
        <w:keepLines/>
        <w:spacing w:before="260" w:after="260" w:line="415" w:lineRule="auto"/>
        <w:ind w:firstLine="4200"/>
        <w:jc w:val="left"/>
        <w:outlineLvl w:val="1"/>
        <w:rPr>
          <w:rFonts w:hint="eastAsia" w:ascii="仿宋" w:hAnsi="仿宋" w:eastAsia="仿宋" w:cs="仿宋"/>
          <w:color w:val="auto"/>
          <w:sz w:val="28"/>
          <w:szCs w:val="28"/>
          <w:highlight w:val="none"/>
        </w:rPr>
      </w:pPr>
    </w:p>
    <w:p>
      <w:pPr>
        <w:spacing w:line="360" w:lineRule="auto"/>
        <w:rPr>
          <w:rFonts w:hint="eastAsia" w:ascii="仿宋" w:hAnsi="仿宋" w:eastAsia="仿宋" w:cs="仿宋"/>
          <w:bCs/>
          <w:color w:val="auto"/>
          <w:sz w:val="24"/>
          <w:szCs w:val="24"/>
          <w:highlight w:val="none"/>
        </w:rPr>
      </w:pPr>
    </w:p>
    <w:p>
      <w:pPr>
        <w:keepNext/>
        <w:keepLines/>
        <w:spacing w:before="260" w:after="260" w:line="415" w:lineRule="auto"/>
        <w:jc w:val="left"/>
        <w:outlineLvl w:val="1"/>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br w:type="page" w:clear="all"/>
      </w:r>
      <w:bookmarkStart w:id="31" w:name="_Toc23274"/>
      <w:r>
        <w:rPr>
          <w:rFonts w:hint="eastAsia" w:ascii="仿宋" w:hAnsi="仿宋" w:eastAsia="仿宋" w:cs="仿宋"/>
          <w:color w:val="auto"/>
          <w:sz w:val="28"/>
          <w:szCs w:val="28"/>
          <w:highlight w:val="none"/>
        </w:rPr>
        <w:t>（十</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）投标偏离表（格式）</w:t>
      </w:r>
      <w:bookmarkEnd w:id="31"/>
    </w:p>
    <w:p>
      <w:pPr>
        <w:ind w:firstLine="490"/>
        <w:jc w:val="center"/>
        <w:outlineLvl w:val="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投标偏离表</w:t>
      </w:r>
    </w:p>
    <w:p>
      <w:pPr>
        <w:spacing w:line="400" w:lineRule="exact"/>
        <w:jc w:val="center"/>
        <w:outlineLvl w:val="0"/>
        <w:rPr>
          <w:rFonts w:hint="eastAsia" w:ascii="仿宋" w:hAnsi="仿宋" w:eastAsia="仿宋" w:cs="仿宋"/>
          <w:bCs/>
          <w:color w:val="auto"/>
          <w:sz w:val="28"/>
          <w:szCs w:val="28"/>
          <w:highlight w:val="none"/>
        </w:rPr>
      </w:pPr>
    </w:p>
    <w:p>
      <w:pPr>
        <w:spacing w:line="400" w:lineRule="exact"/>
        <w:outlineLvl w:val="0"/>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4"/>
          <w:szCs w:val="24"/>
          <w:highlight w:val="none"/>
        </w:rPr>
        <w:t>供应商名称（盖章）                      采购项目编号：</w:t>
      </w:r>
      <w:r>
        <w:rPr>
          <w:rFonts w:hint="eastAsia" w:ascii="仿宋" w:hAnsi="仿宋" w:eastAsia="仿宋" w:cs="仿宋"/>
          <w:color w:val="auto"/>
          <w:szCs w:val="22"/>
          <w:highlight w:val="none"/>
          <w:lang w:eastAsia="zh-CN"/>
        </w:rPr>
        <w:t>********</w:t>
      </w:r>
    </w:p>
    <w:tbl>
      <w:tblPr>
        <w:tblStyle w:val="30"/>
        <w:tblW w:w="9885" w:type="dxa"/>
        <w:tblInd w:w="-30" w:type="dxa"/>
        <w:tblLayout w:type="fixed"/>
        <w:tblCellMar>
          <w:top w:w="15" w:type="dxa"/>
          <w:left w:w="15" w:type="dxa"/>
          <w:bottom w:w="0" w:type="dxa"/>
          <w:right w:w="15" w:type="dxa"/>
        </w:tblCellMar>
      </w:tblPr>
      <w:tblGrid>
        <w:gridCol w:w="1905"/>
        <w:gridCol w:w="2835"/>
        <w:gridCol w:w="2835"/>
        <w:gridCol w:w="2310"/>
      </w:tblGrid>
      <w:tr>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偏离说明</w:t>
            </w: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仿宋" w:hAnsi="仿宋" w:eastAsia="仿宋" w:cs="仿宋"/>
                <w:bCs/>
                <w:color w:val="auto"/>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仿宋" w:hAnsi="仿宋" w:eastAsia="仿宋" w:cs="仿宋"/>
                <w:bCs/>
                <w:color w:val="auto"/>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Cs/>
                <w:color w:val="auto"/>
                <w:szCs w:val="22"/>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Cs/>
                <w:color w:val="auto"/>
                <w:szCs w:val="22"/>
                <w:highlight w:val="none"/>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仿宋" w:hAnsi="仿宋" w:eastAsia="仿宋" w:cs="仿宋"/>
                <w:bCs/>
                <w:color w:val="auto"/>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仿宋" w:hAnsi="仿宋" w:eastAsia="仿宋" w:cs="仿宋"/>
                <w:bCs/>
                <w:color w:val="auto"/>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Cs/>
                <w:color w:val="auto"/>
                <w:szCs w:val="22"/>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Cs/>
                <w:color w:val="auto"/>
                <w:szCs w:val="22"/>
                <w:highlight w:val="none"/>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仿宋" w:hAnsi="仿宋" w:eastAsia="仿宋" w:cs="仿宋"/>
                <w:bCs/>
                <w:color w:val="auto"/>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仿宋" w:hAnsi="仿宋" w:eastAsia="仿宋" w:cs="仿宋"/>
                <w:bCs/>
                <w:color w:val="auto"/>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Cs/>
                <w:color w:val="auto"/>
                <w:szCs w:val="22"/>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Cs/>
                <w:color w:val="auto"/>
                <w:szCs w:val="22"/>
                <w:highlight w:val="none"/>
              </w:rPr>
            </w:pPr>
          </w:p>
        </w:tc>
      </w:tr>
    </w:tbl>
    <w:p>
      <w:pPr>
        <w:rPr>
          <w:rFonts w:hint="eastAsia" w:ascii="仿宋" w:hAnsi="仿宋" w:eastAsia="仿宋" w:cs="仿宋"/>
          <w:b/>
          <w:color w:val="auto"/>
          <w:sz w:val="24"/>
          <w:szCs w:val="24"/>
          <w:highlight w:val="none"/>
        </w:rPr>
      </w:pP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法定代表人或法定代表人授权代表签字或盖章：</w:t>
      </w:r>
    </w:p>
    <w:p>
      <w:pPr>
        <w:rPr>
          <w:rFonts w:hint="eastAsia" w:ascii="仿宋" w:hAnsi="仿宋" w:eastAsia="仿宋" w:cs="仿宋"/>
          <w:bCs/>
          <w:color w:val="auto"/>
          <w:sz w:val="30"/>
          <w:szCs w:val="22"/>
          <w:highlight w:val="none"/>
        </w:rPr>
      </w:pPr>
    </w:p>
    <w:p>
      <w:pPr>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w:t>
      </w:r>
    </w:p>
    <w:p>
      <w:pPr>
        <w:ind w:firstLine="480"/>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（1）本表不得删除；</w:t>
      </w:r>
    </w:p>
    <w:p>
      <w:pPr>
        <w:ind w:firstLine="480"/>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（2）如无任何服务偏离，请于本表 “偏离说明”中注明“无偏离”；</w:t>
      </w:r>
    </w:p>
    <w:p>
      <w:pPr>
        <w:ind w:firstLine="480"/>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（3）如有服务偏离项，请于本表中列明偏离内容，如需要可自行延长</w:t>
      </w:r>
      <w:bookmarkStart w:id="32" w:name="_GoBack"/>
      <w:bookmarkEnd w:id="32"/>
      <w:r>
        <w:rPr>
          <w:rFonts w:hint="eastAsia" w:ascii="仿宋" w:hAnsi="仿宋" w:eastAsia="仿宋" w:cs="仿宋"/>
          <w:bCs/>
          <w:color w:val="auto"/>
          <w:sz w:val="24"/>
          <w:szCs w:val="24"/>
          <w:highlight w:val="none"/>
        </w:rPr>
        <w:t>，其余无偏离内容</w:t>
      </w:r>
      <w:r>
        <w:rPr>
          <w:rFonts w:hint="eastAsia" w:ascii="仿宋" w:hAnsi="仿宋" w:eastAsia="仿宋" w:cs="仿宋"/>
          <w:bCs/>
          <w:color w:val="auto"/>
          <w:sz w:val="24"/>
          <w:szCs w:val="24"/>
          <w:highlight w:val="none"/>
          <w:lang w:eastAsia="zh-CN"/>
        </w:rPr>
        <w:t>无需</w:t>
      </w:r>
      <w:r>
        <w:rPr>
          <w:rFonts w:hint="eastAsia" w:ascii="仿宋" w:hAnsi="仿宋" w:eastAsia="仿宋" w:cs="仿宋"/>
          <w:bCs/>
          <w:color w:val="auto"/>
          <w:sz w:val="24"/>
          <w:szCs w:val="24"/>
          <w:highlight w:val="none"/>
        </w:rPr>
        <w:t>赘述。</w:t>
      </w:r>
    </w:p>
    <w:p>
      <w:pPr>
        <w:ind w:firstLine="480"/>
        <w:outlineLv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偏离说明”项下应按下列规定填写：优于的，填写“正偏离”；符合的，填写“无偏离”；低于的，填写“负偏离”，但若有任何一条负偏离或不满足第三章项目要求和有关说明中的采购需求，则按无效投标处理。</w:t>
      </w:r>
    </w:p>
    <w:p>
      <w:pPr>
        <w:keepNext/>
        <w:keepLines/>
        <w:widowControl/>
        <w:tabs>
          <w:tab w:val="left" w:pos="720"/>
        </w:tabs>
        <w:spacing w:before="120" w:after="120" w:line="360" w:lineRule="auto"/>
        <w:ind w:left="728" w:hanging="340"/>
        <w:jc w:val="both"/>
        <w:outlineLvl w:val="2"/>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（5）表格不够可自行延长，但不得改变文本格式；</w:t>
      </w:r>
    </w:p>
    <w:p>
      <w:pPr>
        <w:rPr>
          <w:rFonts w:hint="eastAsia" w:ascii="仿宋" w:hAnsi="仿宋" w:eastAsia="仿宋" w:cs="仿宋"/>
          <w:color w:val="auto"/>
          <w:szCs w:val="22"/>
          <w:highlight w:val="none"/>
        </w:rPr>
      </w:pPr>
    </w:p>
    <w:p>
      <w:pPr>
        <w:widowControl/>
        <w:shd w:val="clear" w:color="auto" w:fill="FFFFFF"/>
        <w:spacing w:line="360" w:lineRule="auto"/>
        <w:jc w:val="center"/>
        <w:rPr>
          <w:rFonts w:ascii="宋体" w:hAnsi="宋体" w:cs="宋体"/>
          <w:b/>
          <w:bCs/>
          <w:color w:val="auto"/>
          <w:sz w:val="24"/>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lang w:val="en-US" w:eastAsia="zh-CN"/>
        </w:rPr>
        <w:t>（十三）中标标段优先顺序承诺函（格式）</w:t>
      </w:r>
    </w:p>
    <w:p>
      <w:pPr>
        <w:spacing w:line="360" w:lineRule="auto"/>
        <w:jc w:val="center"/>
        <w:rPr>
          <w:rFonts w:ascii="宋体" w:hAnsi="宋体" w:cs="宋体"/>
          <w:bCs/>
          <w:color w:val="auto"/>
          <w:sz w:val="28"/>
          <w:highlight w:val="none"/>
        </w:rPr>
      </w:pPr>
    </w:p>
    <w:p>
      <w:pPr>
        <w:tabs>
          <w:tab w:val="left" w:pos="7140"/>
        </w:tabs>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中标标段优先顺序承诺函</w:t>
      </w:r>
    </w:p>
    <w:p>
      <w:pPr>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b/>
          <w:bCs/>
          <w:color w:val="auto"/>
          <w:sz w:val="24"/>
          <w:highlight w:val="none"/>
          <w:u w:val="single"/>
        </w:rPr>
      </w:pPr>
      <w:r>
        <w:rPr>
          <w:rFonts w:hint="eastAsia" w:ascii="仿宋" w:hAnsi="仿宋" w:eastAsia="仿宋" w:cs="仿宋"/>
          <w:bCs/>
          <w:color w:val="auto"/>
          <w:sz w:val="24"/>
          <w:highlight w:val="none"/>
        </w:rPr>
        <w:t>致：</w:t>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w:t>
      </w:r>
      <w:r>
        <w:rPr>
          <w:rFonts w:hint="eastAsia" w:ascii="仿宋" w:hAnsi="仿宋" w:eastAsia="仿宋" w:cs="仿宋"/>
          <w:color w:val="auto"/>
          <w:sz w:val="24"/>
          <w:highlight w:val="none"/>
        </w:rPr>
        <w:t>我公司完全理解本次招标（一</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二</w:t>
      </w:r>
      <w:r>
        <w:rPr>
          <w:rFonts w:hint="eastAsia" w:ascii="仿宋" w:hAnsi="仿宋" w:eastAsia="仿宋" w:cs="仿宋"/>
          <w:color w:val="auto"/>
          <w:sz w:val="24"/>
          <w:highlight w:val="none"/>
        </w:rPr>
        <w:t>标段）最多可中一个标段，将按照投标人承诺的中标标段优先顺序确定中标标段，并放弃对这方面有不明或误解的权利</w:t>
      </w:r>
      <w:r>
        <w:rPr>
          <w:rFonts w:hint="eastAsia" w:ascii="仿宋" w:hAnsi="仿宋" w:eastAsia="仿宋" w:cs="仿宋"/>
          <w:bCs/>
          <w:color w:val="auto"/>
          <w:sz w:val="24"/>
          <w:highlight w:val="none"/>
        </w:rPr>
        <w:t>。</w:t>
      </w:r>
    </w:p>
    <w:p>
      <w:pPr>
        <w:spacing w:line="360" w:lineRule="auto"/>
        <w:rPr>
          <w:rFonts w:hint="eastAsia" w:ascii="仿宋" w:hAnsi="仿宋" w:eastAsia="仿宋" w:cs="仿宋"/>
          <w:color w:val="auto"/>
          <w:highlight w:val="none"/>
        </w:rPr>
      </w:pPr>
      <w:r>
        <w:rPr>
          <w:rFonts w:hint="eastAsia" w:ascii="仿宋" w:hAnsi="仿宋" w:eastAsia="仿宋" w:cs="仿宋"/>
          <w:bCs/>
          <w:color w:val="auto"/>
          <w:sz w:val="24"/>
          <w:highlight w:val="none"/>
        </w:rPr>
        <w:t>2.如果我公司经评委评审后在两个或以上标段均为第一名时，我公司愿意按照下表的优先顺序选择排列于前的一个标段中标，放弃其余标段的中标权。</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6"/>
        <w:gridCol w:w="3127"/>
        <w:gridCol w:w="3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3126" w:type="dxa"/>
            <w:noWrap/>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中标优先顺序</w:t>
            </w:r>
          </w:p>
        </w:tc>
        <w:tc>
          <w:tcPr>
            <w:tcW w:w="3127" w:type="dxa"/>
            <w:noWrap/>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标段</w:t>
            </w:r>
          </w:p>
        </w:tc>
        <w:tc>
          <w:tcPr>
            <w:tcW w:w="3127" w:type="dxa"/>
            <w:noWrap/>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126" w:type="dxa"/>
            <w:noWrap/>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w:t>
            </w:r>
          </w:p>
        </w:tc>
        <w:tc>
          <w:tcPr>
            <w:tcW w:w="3127" w:type="dxa"/>
            <w:noWrap/>
            <w:vAlign w:val="center"/>
          </w:tcPr>
          <w:p>
            <w:pPr>
              <w:spacing w:line="360" w:lineRule="auto"/>
              <w:ind w:firstLine="560"/>
              <w:jc w:val="center"/>
              <w:rPr>
                <w:rFonts w:hint="eastAsia" w:ascii="仿宋" w:hAnsi="仿宋" w:eastAsia="仿宋" w:cs="仿宋"/>
                <w:bCs/>
                <w:color w:val="auto"/>
                <w:sz w:val="24"/>
                <w:highlight w:val="none"/>
              </w:rPr>
            </w:pPr>
          </w:p>
        </w:tc>
        <w:tc>
          <w:tcPr>
            <w:tcW w:w="3127" w:type="dxa"/>
            <w:noWrap/>
            <w:vAlign w:val="center"/>
          </w:tcPr>
          <w:p>
            <w:pPr>
              <w:spacing w:line="360" w:lineRule="auto"/>
              <w:ind w:firstLine="560"/>
              <w:jc w:val="center"/>
              <w:rPr>
                <w:rFonts w:hint="eastAsia" w:ascii="仿宋" w:hAnsi="仿宋" w:eastAsia="仿宋" w:cs="仿宋"/>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126" w:type="dxa"/>
            <w:noWrap/>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w:t>
            </w:r>
          </w:p>
        </w:tc>
        <w:tc>
          <w:tcPr>
            <w:tcW w:w="3127" w:type="dxa"/>
            <w:noWrap/>
            <w:vAlign w:val="center"/>
          </w:tcPr>
          <w:p>
            <w:pPr>
              <w:spacing w:line="360" w:lineRule="auto"/>
              <w:ind w:firstLine="560"/>
              <w:jc w:val="center"/>
              <w:rPr>
                <w:rFonts w:hint="eastAsia" w:ascii="仿宋" w:hAnsi="仿宋" w:eastAsia="仿宋" w:cs="仿宋"/>
                <w:bCs/>
                <w:color w:val="auto"/>
                <w:sz w:val="24"/>
                <w:highlight w:val="none"/>
              </w:rPr>
            </w:pPr>
          </w:p>
        </w:tc>
        <w:tc>
          <w:tcPr>
            <w:tcW w:w="3127" w:type="dxa"/>
            <w:noWrap/>
            <w:vAlign w:val="center"/>
          </w:tcPr>
          <w:p>
            <w:pPr>
              <w:spacing w:line="360" w:lineRule="auto"/>
              <w:ind w:firstLine="560"/>
              <w:jc w:val="center"/>
              <w:rPr>
                <w:rFonts w:hint="eastAsia" w:ascii="仿宋" w:hAnsi="仿宋" w:eastAsia="仿宋" w:cs="仿宋"/>
                <w:bCs/>
                <w:color w:val="auto"/>
                <w:sz w:val="24"/>
                <w:highlight w:val="none"/>
              </w:rPr>
            </w:pPr>
          </w:p>
        </w:tc>
      </w:tr>
    </w:tbl>
    <w:p>
      <w:pPr>
        <w:tabs>
          <w:tab w:val="left" w:pos="714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投标供应商全称（加盖公章）： </w:t>
      </w:r>
    </w:p>
    <w:p>
      <w:pPr>
        <w:tabs>
          <w:tab w:val="left" w:pos="714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法定代表人或授权代表签字： </w:t>
      </w:r>
    </w:p>
    <w:p>
      <w:pPr>
        <w:tabs>
          <w:tab w:val="left" w:pos="714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日期：   年   月   日</w:t>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p>
    <w:p>
      <w:pPr>
        <w:keepNext/>
        <w:keepLines/>
        <w:spacing w:before="260" w:after="260" w:line="415" w:lineRule="auto"/>
        <w:outlineLvl w:val="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十四</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技术文件</w:t>
      </w:r>
    </w:p>
    <w:p>
      <w:pPr>
        <w:spacing w:line="360" w:lineRule="auto"/>
        <w:ind w:firstLine="482"/>
        <w:jc w:val="center"/>
        <w:rPr>
          <w:rFonts w:hint="eastAsia" w:ascii="仿宋" w:hAnsi="仿宋" w:eastAsia="仿宋" w:cs="仿宋"/>
          <w:b/>
          <w:color w:val="auto"/>
          <w:sz w:val="24"/>
          <w:highlight w:val="none"/>
        </w:rPr>
      </w:pPr>
      <w:r>
        <w:rPr>
          <w:rFonts w:hint="eastAsia" w:ascii="仿宋" w:hAnsi="仿宋" w:eastAsia="仿宋" w:cs="仿宋"/>
          <w:b/>
          <w:color w:val="auto"/>
          <w:sz w:val="24"/>
          <w:szCs w:val="24"/>
          <w:highlight w:val="none"/>
        </w:rPr>
        <w:t>（暗标，内容参照评标办法）</w:t>
      </w:r>
    </w:p>
    <w:p>
      <w:pPr>
        <w:keepNext/>
        <w:keepLines/>
        <w:spacing w:before="260" w:after="260" w:line="415" w:lineRule="auto"/>
        <w:outlineLvl w:val="1"/>
        <w:rPr>
          <w:rFonts w:hint="eastAsia" w:ascii="仿宋" w:hAnsi="仿宋" w:eastAsia="仿宋" w:cs="仿宋"/>
          <w:color w:val="auto"/>
          <w:sz w:val="28"/>
          <w:szCs w:val="28"/>
          <w:highlight w:val="none"/>
        </w:rPr>
      </w:pPr>
    </w:p>
    <w:sectPr>
      <w:headerReference r:id="rId6" w:type="default"/>
      <w:footerReference r:id="rId7" w:type="default"/>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00"/>
    <w:family w:val="auto"/>
    <w:pitch w:val="default"/>
    <w:sig w:usb0="00000000" w:usb1="00000000" w:usb2="00000000" w:usb3="00000000" w:csb0="00000000" w:csb1="00000000"/>
  </w:font>
  <w:font w:name="ˎ̥">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文鼎小标宋简">
    <w:altName w:val="微软雅黑"/>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Gungsuh">
    <w:altName w:val="Segoe Print"/>
    <w:panose1 w:val="0201060004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幼圆">
    <w:altName w:val="NumberOnly"/>
    <w:panose1 w:val="02010509060101010101"/>
    <w:charset w:val="00"/>
    <w:family w:val="auto"/>
    <w:pitch w:val="default"/>
    <w:sig w:usb0="00000000" w:usb1="00000000" w:usb2="00000000" w:usb3="00000000" w:csb0="00000000" w:csb1="00000000"/>
  </w:font>
  <w:font w:name="隶书">
    <w:altName w:val="微软雅黑"/>
    <w:panose1 w:val="02010509060101010101"/>
    <w:charset w:val="00"/>
    <w:family w:val="auto"/>
    <w:pitch w:val="default"/>
    <w:sig w:usb0="00000000" w:usb1="00000000" w:usb2="00000000" w:usb3="00000000" w:csb0="00000000" w:csb1="00000000"/>
  </w:font>
  <w:font w:name="文鼎CS中宋">
    <w:altName w:val="宋体"/>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Yu Mincho Light">
    <w:altName w:val="NumberOnly"/>
    <w:panose1 w:val="020B0503020202020204"/>
    <w:charset w:val="00"/>
    <w:family w:val="auto"/>
    <w:pitch w:val="default"/>
    <w:sig w:usb0="00000000" w:usb1="00000000" w:usb2="00000000" w:usb3="00000000" w:csb0="00000000" w:csb1="00000000"/>
  </w:font>
  <w:font w:name="Times New Roman PSMT">
    <w:altName w:val="Times New Roman"/>
    <w:panose1 w:val="02020603050405020304"/>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MS Mincho">
    <w:altName w:val="Segoe Print"/>
    <w:panose1 w:val="020206030504050903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jc w:val="center"/>
      <w:rPr>
        <w:rFonts w:hint="eastAsia"/>
      </w:rPr>
    </w:pPr>
    <w:r>
      <w:fldChar w:fldCharType="begin"/>
    </w:r>
    <w:r>
      <w:instrText xml:space="preserve">PAGE   \* MERGEFORMAT</w:instrText>
    </w:r>
    <w:r>
      <w:fldChar w:fldCharType="separate"/>
    </w:r>
    <w:r>
      <w:rPr>
        <w:lang w:val="zh-CN"/>
      </w:rPr>
      <w:t>2</w:t>
    </w:r>
    <w:r>
      <w:fldChar w:fldCharType="end"/>
    </w:r>
  </w:p>
  <w:p>
    <w:pPr>
      <w:pStyle w:val="2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38"/>
                            <w:tabs>
                              <w:tab w:val="clear" w:pos="4153"/>
                              <w:tab w:val="clear" w:pos="8306"/>
                            </w:tabs>
                          </w:pPr>
                          <w:r>
                            <w:fldChar w:fldCharType="begin"/>
                          </w:r>
                          <w:r>
                            <w:instrText xml:space="preserve"> PAGE  \* MERGEFORMAT </w:instrText>
                          </w:r>
                          <w:r>
                            <w:fldChar w:fldCharType="separate"/>
                          </w:r>
                          <w:r>
                            <w:t>70</w:t>
                          </w:r>
                          <w:r>
                            <w:fldChar w:fldCharType="end"/>
                          </w:r>
                        </w:p>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pPr>
                      <w:pStyle w:val="238"/>
                      <w:tabs>
                        <w:tab w:val="clear" w:pos="4153"/>
                        <w:tab w:val="clear" w:pos="8306"/>
                      </w:tabs>
                    </w:pPr>
                    <w:r>
                      <w:fldChar w:fldCharType="begin"/>
                    </w:r>
                    <w:r>
                      <w:instrText xml:space="preserve"> PAGE  \* MERGEFORMAT </w:instrText>
                    </w:r>
                    <w:r>
                      <w:fldChar w:fldCharType="separate"/>
                    </w:r>
                    <w:r>
                      <w:t>70</w:t>
                    </w:r>
                    <w:r>
                      <w:fldChar w:fldCharType="end"/>
                    </w:r>
                  </w:p>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0"/>
      <w:pBdr>
        <w:bottom w:val="none" w:color="000000" w:sz="0" w:space="1"/>
      </w:pBdr>
      <w:jc w:val="both"/>
      <w:rPr>
        <w:rFonts w:hint="eastAsia"/>
        <w:sz w:val="15"/>
        <w:szCs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decimal"/>
      <w:lvlText w:val="%1．"/>
      <w:lvlJc w:val="left"/>
      <w:pPr>
        <w:tabs>
          <w:tab w:val="left" w:pos="1697"/>
        </w:tabs>
        <w:ind w:left="1697"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9239341B"/>
    <w:multiLevelType w:val="multilevel"/>
    <w:tmpl w:val="9239341B"/>
    <w:lvl w:ilvl="0" w:tentative="0">
      <w:start w:val="1"/>
      <w:numFmt w:val="decimal"/>
      <w:pStyle w:val="368"/>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0"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rPr>
    </w:lvl>
    <w:lvl w:ilvl="2" w:tentative="0">
      <w:start w:val="1"/>
      <w:numFmt w:val="decimal"/>
      <w:pStyle w:val="367"/>
      <w:suff w:val="nothing"/>
      <w:lvlText w:val="%1.%2.%3　"/>
      <w:lvlJc w:val="left"/>
      <w:pPr>
        <w:ind w:left="735" w:firstLine="0"/>
      </w:pPr>
      <w:rPr>
        <w:rFonts w:hint="eastAsia" w:ascii="黑体" w:hAnsi="Times New Roman" w:eastAsia="黑体"/>
        <w:b w:val="0"/>
        <w:i w:val="0"/>
        <w:color w:val="000000"/>
        <w:sz w:val="21"/>
      </w:rPr>
    </w:lvl>
    <w:lvl w:ilvl="3" w:tentative="0">
      <w:start w:val="1"/>
      <w:numFmt w:val="decimal"/>
      <w:pStyle w:val="493"/>
      <w:suff w:val="nothing"/>
      <w:lvlText w:val="%1.%2.%3.%4　"/>
      <w:lvlJc w:val="left"/>
      <w:pPr>
        <w:ind w:left="0" w:firstLine="0"/>
      </w:pPr>
      <w:rPr>
        <w:rFonts w:hint="eastAsia" w:ascii="黑体" w:hAnsi="Times New Roman" w:eastAsia="黑体"/>
        <w:b w:val="0"/>
        <w:i w:val="0"/>
        <w:sz w:val="21"/>
      </w:rPr>
    </w:lvl>
    <w:lvl w:ilvl="4" w:tentative="0">
      <w:start w:val="1"/>
      <w:numFmt w:val="decimal"/>
      <w:pStyle w:val="468"/>
      <w:suff w:val="nothing"/>
      <w:lvlText w:val="%1.%2.%3.%4.%5　"/>
      <w:lvlJc w:val="left"/>
      <w:pPr>
        <w:ind w:left="0" w:firstLine="0"/>
      </w:pPr>
      <w:rPr>
        <w:rFonts w:hint="eastAsia" w:ascii="黑体" w:hAnsi="Times New Roman" w:eastAsia="黑体"/>
        <w:b w:val="0"/>
        <w:i w:val="0"/>
        <w:sz w:val="21"/>
      </w:rPr>
    </w:lvl>
    <w:lvl w:ilvl="5" w:tentative="0">
      <w:start w:val="1"/>
      <w:numFmt w:val="decimal"/>
      <w:pStyle w:val="370"/>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9288B902"/>
    <w:multiLevelType w:val="multilevel"/>
    <w:tmpl w:val="9288B902"/>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9C8AC8EF"/>
    <w:multiLevelType w:val="multilevel"/>
    <w:tmpl w:val="9C8AC8EF"/>
    <w:lvl w:ilvl="0" w:tentative="0">
      <w:start w:val="1"/>
      <w:numFmt w:val="decimal"/>
      <w:pStyle w:val="470"/>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4">
    <w:nsid w:val="B0F1ACD9"/>
    <w:multiLevelType w:val="multilevel"/>
    <w:tmpl w:val="B0F1ACD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B5E306ED"/>
    <w:multiLevelType w:val="multilevel"/>
    <w:tmpl w:val="B5E306ED"/>
    <w:lvl w:ilvl="0" w:tentative="0">
      <w:start w:val="1"/>
      <w:numFmt w:val="bullet"/>
      <w:pStyle w:val="227"/>
      <w:lvlText w:val=""/>
      <w:lvlJc w:val="left"/>
      <w:pPr>
        <w:tabs>
          <w:tab w:val="left" w:pos="2466"/>
        </w:tabs>
        <w:ind w:left="2466" w:hanging="360"/>
      </w:pPr>
      <w:rPr>
        <w:rFonts w:ascii="ˎ̥" w:hAnsi="ˎ̥"/>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BE923771"/>
    <w:multiLevelType w:val="multilevel"/>
    <w:tmpl w:val="BE923771"/>
    <w:lvl w:ilvl="0" w:tentative="0">
      <w:start w:val="1"/>
      <w:numFmt w:val="decimal"/>
      <w:lvlText w:val="（%1）"/>
      <w:lvlJc w:val="right"/>
      <w:pPr>
        <w:ind w:left="420" w:hanging="420"/>
      </w:pPr>
      <w:rPr>
        <w:lang w:val="en-US"/>
      </w:rPr>
    </w:lvl>
    <w:lvl w:ilvl="1" w:tentative="0">
      <w:start w:val="1"/>
      <w:numFmt w:val="lowerLetter"/>
      <w:lvlText w:val="%2)"/>
      <w:lvlJc w:val="left"/>
      <w:pPr>
        <w:ind w:left="1550" w:hanging="420"/>
      </w:pPr>
    </w:lvl>
    <w:lvl w:ilvl="2" w:tentative="0">
      <w:start w:val="1"/>
      <w:numFmt w:val="lowerRoman"/>
      <w:lvlText w:val="%3."/>
      <w:lvlJc w:val="right"/>
      <w:pPr>
        <w:ind w:left="1970" w:hanging="420"/>
      </w:pPr>
    </w:lvl>
    <w:lvl w:ilvl="3" w:tentative="0">
      <w:start w:val="1"/>
      <w:numFmt w:val="decimal"/>
      <w:lvlText w:val="%4."/>
      <w:lvlJc w:val="left"/>
      <w:pPr>
        <w:ind w:left="2390" w:hanging="420"/>
      </w:pPr>
    </w:lvl>
    <w:lvl w:ilvl="4" w:tentative="0">
      <w:start w:val="1"/>
      <w:numFmt w:val="lowerLetter"/>
      <w:lvlText w:val="%5)"/>
      <w:lvlJc w:val="left"/>
      <w:pPr>
        <w:ind w:left="2810" w:hanging="420"/>
      </w:pPr>
    </w:lvl>
    <w:lvl w:ilvl="5" w:tentative="0">
      <w:start w:val="1"/>
      <w:numFmt w:val="lowerRoman"/>
      <w:lvlText w:val="%6."/>
      <w:lvlJc w:val="right"/>
      <w:pPr>
        <w:ind w:left="3230" w:hanging="420"/>
      </w:pPr>
    </w:lvl>
    <w:lvl w:ilvl="6" w:tentative="0">
      <w:start w:val="1"/>
      <w:numFmt w:val="decimal"/>
      <w:lvlText w:val="%7."/>
      <w:lvlJc w:val="left"/>
      <w:pPr>
        <w:ind w:left="3650" w:hanging="420"/>
      </w:pPr>
    </w:lvl>
    <w:lvl w:ilvl="7" w:tentative="0">
      <w:start w:val="1"/>
      <w:numFmt w:val="lowerLetter"/>
      <w:lvlText w:val="%8)"/>
      <w:lvlJc w:val="left"/>
      <w:pPr>
        <w:ind w:left="4070" w:hanging="420"/>
      </w:pPr>
    </w:lvl>
    <w:lvl w:ilvl="8" w:tentative="0">
      <w:start w:val="1"/>
      <w:numFmt w:val="lowerRoman"/>
      <w:lvlText w:val="%9."/>
      <w:lvlJc w:val="right"/>
      <w:pPr>
        <w:ind w:left="4490" w:hanging="420"/>
      </w:pPr>
    </w:lvl>
  </w:abstractNum>
  <w:abstractNum w:abstractNumId="7">
    <w:nsid w:val="BF205925"/>
    <w:multiLevelType w:val="multilevel"/>
    <w:tmpl w:val="BF205925"/>
    <w:lvl w:ilvl="0" w:tentative="0">
      <w:start w:val="1"/>
      <w:numFmt w:val="bullet"/>
      <w:pStyle w:val="221"/>
      <w:lvlText w:val=""/>
      <w:lvlJc w:val="left"/>
      <w:pPr>
        <w:tabs>
          <w:tab w:val="left" w:pos="1200"/>
        </w:tabs>
        <w:ind w:left="1200" w:hanging="360"/>
      </w:pPr>
      <w:rPr>
        <w:rFonts w:ascii="ˎ̥" w:hAnsi="ˎ̥"/>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C8879AEF"/>
    <w:multiLevelType w:val="multilevel"/>
    <w:tmpl w:val="C8879AEF"/>
    <w:lvl w:ilvl="0" w:tentative="0">
      <w:start w:val="1"/>
      <w:numFmt w:val="decimal"/>
      <w:pStyle w:val="486"/>
      <w:suff w:val="nothing"/>
      <w:lvlText w:val="注%1："/>
      <w:lvlJc w:val="left"/>
      <w:pPr>
        <w:ind w:left="811" w:hanging="448"/>
      </w:pPr>
      <w:rPr>
        <w:rFonts w:hint="eastAsia" w:ascii="黑体" w:eastAsia="黑体"/>
        <w:b w:val="0"/>
        <w:i w:val="0"/>
        <w:color w:val="FF0000"/>
        <w:sz w:val="18"/>
        <w:szCs w:val="18"/>
        <w:vertAlign w:val="baseline"/>
      </w:rPr>
    </w:lvl>
    <w:lvl w:ilvl="1" w:tentative="0">
      <w:start w:val="1"/>
      <w:numFmt w:val="lowerLetter"/>
      <w:lvlText w:val="%2)"/>
      <w:lvlJc w:val="left"/>
      <w:pPr>
        <w:tabs>
          <w:tab w:val="left" w:pos="181"/>
        </w:tabs>
        <w:ind w:left="1174" w:hanging="630"/>
      </w:pPr>
      <w:rPr>
        <w:rFonts w:hint="eastAsia"/>
        <w:vertAlign w:val="baseline"/>
      </w:rPr>
    </w:lvl>
    <w:lvl w:ilvl="2" w:tentative="0">
      <w:start w:val="1"/>
      <w:numFmt w:val="lowerRoman"/>
      <w:lvlText w:val="%3."/>
      <w:lvlJc w:val="right"/>
      <w:pPr>
        <w:tabs>
          <w:tab w:val="left" w:pos="181"/>
        </w:tabs>
        <w:ind w:left="1174" w:hanging="630"/>
      </w:pPr>
      <w:rPr>
        <w:rFonts w:hint="eastAsia"/>
        <w:vertAlign w:val="baseline"/>
      </w:rPr>
    </w:lvl>
    <w:lvl w:ilvl="3" w:tentative="0">
      <w:start w:val="1"/>
      <w:numFmt w:val="decimal"/>
      <w:lvlText w:val="%4."/>
      <w:lvlJc w:val="left"/>
      <w:pPr>
        <w:tabs>
          <w:tab w:val="left" w:pos="181"/>
        </w:tabs>
        <w:ind w:left="1174" w:hanging="630"/>
      </w:pPr>
      <w:rPr>
        <w:rFonts w:hint="eastAsia"/>
        <w:vertAlign w:val="baseline"/>
      </w:rPr>
    </w:lvl>
    <w:lvl w:ilvl="4" w:tentative="0">
      <w:start w:val="1"/>
      <w:numFmt w:val="lowerLetter"/>
      <w:lvlText w:val="%5)"/>
      <w:lvlJc w:val="left"/>
      <w:pPr>
        <w:tabs>
          <w:tab w:val="left" w:pos="181"/>
        </w:tabs>
        <w:ind w:left="1174" w:hanging="630"/>
      </w:pPr>
      <w:rPr>
        <w:rFonts w:hint="eastAsia"/>
        <w:vertAlign w:val="baseline"/>
      </w:rPr>
    </w:lvl>
    <w:lvl w:ilvl="5" w:tentative="0">
      <w:start w:val="1"/>
      <w:numFmt w:val="lowerRoman"/>
      <w:lvlText w:val="%6."/>
      <w:lvlJc w:val="right"/>
      <w:pPr>
        <w:tabs>
          <w:tab w:val="left" w:pos="181"/>
        </w:tabs>
        <w:ind w:left="1174" w:hanging="630"/>
      </w:pPr>
      <w:rPr>
        <w:rFonts w:hint="eastAsia"/>
        <w:vertAlign w:val="baseline"/>
      </w:rPr>
    </w:lvl>
    <w:lvl w:ilvl="6" w:tentative="0">
      <w:start w:val="1"/>
      <w:numFmt w:val="decimal"/>
      <w:lvlText w:val="%7."/>
      <w:lvlJc w:val="left"/>
      <w:pPr>
        <w:tabs>
          <w:tab w:val="left" w:pos="181"/>
        </w:tabs>
        <w:ind w:left="1174" w:hanging="630"/>
      </w:pPr>
      <w:rPr>
        <w:rFonts w:hint="eastAsia"/>
        <w:vertAlign w:val="baseline"/>
      </w:rPr>
    </w:lvl>
    <w:lvl w:ilvl="7" w:tentative="0">
      <w:start w:val="1"/>
      <w:numFmt w:val="lowerLetter"/>
      <w:lvlText w:val="%8)"/>
      <w:lvlJc w:val="left"/>
      <w:pPr>
        <w:tabs>
          <w:tab w:val="left" w:pos="181"/>
        </w:tabs>
        <w:ind w:left="1174" w:hanging="630"/>
      </w:pPr>
      <w:rPr>
        <w:rFonts w:hint="eastAsia"/>
        <w:vertAlign w:val="baseline"/>
      </w:rPr>
    </w:lvl>
    <w:lvl w:ilvl="8" w:tentative="0">
      <w:start w:val="1"/>
      <w:numFmt w:val="lowerRoman"/>
      <w:lvlText w:val="%9."/>
      <w:lvlJc w:val="right"/>
      <w:pPr>
        <w:tabs>
          <w:tab w:val="left" w:pos="181"/>
        </w:tabs>
        <w:ind w:left="1174" w:hanging="630"/>
      </w:pPr>
      <w:rPr>
        <w:rFonts w:hint="eastAsia"/>
        <w:vertAlign w:val="baseline"/>
      </w:rPr>
    </w:lvl>
  </w:abstractNum>
  <w:abstractNum w:abstractNumId="9">
    <w:nsid w:val="CF092B84"/>
    <w:multiLevelType w:val="multilevel"/>
    <w:tmpl w:val="CF092B84"/>
    <w:lvl w:ilvl="0" w:tentative="0">
      <w:start w:val="1"/>
      <w:numFmt w:val="lowerLetter"/>
      <w:pStyle w:val="986"/>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10">
    <w:nsid w:val="D7F9FE59"/>
    <w:multiLevelType w:val="multilevel"/>
    <w:tmpl w:val="D7F9FE59"/>
    <w:lvl w:ilvl="0" w:tentative="0">
      <w:start w:val="1"/>
      <w:numFmt w:val="decimal"/>
      <w:pStyle w:val="442"/>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decimal"/>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1">
    <w:nsid w:val="DCBA6B53"/>
    <w:multiLevelType w:val="multilevel"/>
    <w:tmpl w:val="DCBA6B53"/>
    <w:lvl w:ilvl="0" w:tentative="0">
      <w:start w:val="2"/>
      <w:numFmt w:val="chineseCounting"/>
      <w:pStyle w:val="432"/>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F4B5D9F5"/>
    <w:multiLevelType w:val="multilevel"/>
    <w:tmpl w:val="F4B5D9F5"/>
    <w:lvl w:ilvl="0" w:tentative="0">
      <w:start w:val="1"/>
      <w:numFmt w:val="upperLetter"/>
      <w:pStyle w:val="459"/>
      <w:lvlText w:val="%1"/>
      <w:lvlJc w:val="left"/>
      <w:pPr>
        <w:tabs>
          <w:tab w:val="left" w:pos="0"/>
        </w:tabs>
        <w:ind w:left="0" w:hanging="425"/>
      </w:pPr>
      <w:rPr>
        <w:rFonts w:hint="eastAsia"/>
      </w:rPr>
    </w:lvl>
    <w:lvl w:ilvl="1" w:tentative="0">
      <w:start w:val="1"/>
      <w:numFmt w:val="decimal"/>
      <w:pStyle w:val="541"/>
      <w:suff w:val="nothing"/>
      <w:lvlText w:val="表%1.%2　"/>
      <w:lvlJc w:val="left"/>
      <w:pPr>
        <w:ind w:left="567"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3">
    <w:nsid w:val="0053208E"/>
    <w:multiLevelType w:val="multilevel"/>
    <w:tmpl w:val="0053208E"/>
    <w:lvl w:ilvl="0" w:tentative="0">
      <w:start w:val="1"/>
      <w:numFmt w:val="decimal"/>
      <w:pStyle w:val="985"/>
      <w:lvlText w:val=""/>
      <w:lvlJc w:val="left"/>
      <w:pPr>
        <w:tabs>
          <w:tab w:val="left" w:pos="432"/>
        </w:tabs>
        <w:ind w:left="432" w:hanging="432"/>
      </w:pPr>
      <w:rPr>
        <w:rFonts w:hint="eastAsia"/>
      </w:rPr>
    </w:lvl>
    <w:lvl w:ilvl="1" w:tentative="0">
      <w:start w:val="1"/>
      <w:numFmt w:val="decimal"/>
      <w:lvlText w:val=" "/>
      <w:lvlJc w:val="left"/>
      <w:pPr>
        <w:tabs>
          <w:tab w:val="left" w:pos="576"/>
        </w:tabs>
        <w:ind w:left="576" w:hanging="576"/>
      </w:pPr>
      <w:rPr>
        <w:rFonts w:hint="eastAsia"/>
      </w:rPr>
    </w:lvl>
    <w:lvl w:ilvl="2" w:tentative="0">
      <w:start w:val="1"/>
      <w:numFmt w:val="decimal"/>
      <w:pStyle w:val="178"/>
      <w:lvlText w:val=""/>
      <w:lvlJc w:val="left"/>
      <w:pPr>
        <w:tabs>
          <w:tab w:val="left" w:pos="720"/>
        </w:tabs>
        <w:ind w:left="720" w:hanging="720"/>
      </w:pPr>
      <w:rPr>
        <w:rFonts w:hint="eastAsia"/>
      </w:rPr>
    </w:lvl>
    <w:lvl w:ilvl="3" w:tentative="0">
      <w:start w:val="1"/>
      <w:numFmt w:val="decimal"/>
      <w:lvlText w:val="    "/>
      <w:lvlJc w:val="left"/>
      <w:pPr>
        <w:tabs>
          <w:tab w:val="left" w:pos="864"/>
        </w:tabs>
        <w:ind w:left="864" w:hanging="864"/>
      </w:pPr>
      <w:rPr>
        <w:rFonts w:hint="eastAsia"/>
      </w:rPr>
    </w:lvl>
    <w:lvl w:ilvl="4" w:tentative="0">
      <w:start w:val="1"/>
      <w:numFmt w:val="decimal"/>
      <w:lvlText w:val="      "/>
      <w:lvlJc w:val="left"/>
      <w:pPr>
        <w:tabs>
          <w:tab w:val="left" w:pos="1008"/>
        </w:tabs>
        <w:ind w:left="1008" w:hanging="1008"/>
      </w:pPr>
      <w:rPr>
        <w:rFonts w:hint="eastAsia"/>
      </w:rPr>
    </w:lvl>
    <w:lvl w:ilvl="5" w:tentative="0">
      <w:start w:val="1"/>
      <w:numFmt w:val="decimal"/>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4">
    <w:nsid w:val="0248C179"/>
    <w:multiLevelType w:val="multilevel"/>
    <w:tmpl w:val="0248C179"/>
    <w:lvl w:ilvl="0" w:tentative="0">
      <w:start w:val="1"/>
      <w:numFmt w:val="upperLetter"/>
      <w:pStyle w:val="446"/>
      <w:suff w:val="nothing"/>
      <w:lvlText w:val="附　录　%1"/>
      <w:lvlJc w:val="left"/>
      <w:pPr>
        <w:ind w:left="0" w:firstLine="0"/>
      </w:pPr>
      <w:rPr>
        <w:rFonts w:hint="eastAsia" w:ascii="黑体" w:hAnsi="Times New Roman" w:eastAsia="黑体"/>
        <w:b w:val="0"/>
        <w:i w:val="0"/>
        <w:spacing w:val="0"/>
        <w:sz w:val="21"/>
      </w:rPr>
    </w:lvl>
    <w:lvl w:ilvl="1" w:tentative="0">
      <w:start w:val="1"/>
      <w:numFmt w:val="decimal"/>
      <w:pStyle w:val="416"/>
      <w:suff w:val="nothing"/>
      <w:lvlText w:val="%1.%2　"/>
      <w:lvlJc w:val="left"/>
      <w:pPr>
        <w:ind w:left="3060" w:firstLine="0"/>
      </w:pPr>
      <w:rPr>
        <w:rFonts w:hint="eastAsia" w:ascii="黑体" w:hAnsi="Times New Roman" w:eastAsia="黑体"/>
        <w:b w:val="0"/>
        <w:i w:val="0"/>
        <w:spacing w:val="0"/>
        <w:sz w:val="21"/>
      </w:rPr>
    </w:lvl>
    <w:lvl w:ilvl="2" w:tentative="0">
      <w:start w:val="1"/>
      <w:numFmt w:val="decimal"/>
      <w:pStyle w:val="415"/>
      <w:suff w:val="nothing"/>
      <w:lvlText w:val="%1.%2.%3　"/>
      <w:lvlJc w:val="left"/>
      <w:pPr>
        <w:ind w:left="540" w:firstLine="0"/>
      </w:pPr>
      <w:rPr>
        <w:rFonts w:hint="eastAsia" w:ascii="黑体" w:hAnsi="Times New Roman" w:eastAsia="黑体"/>
        <w:b w:val="0"/>
        <w:i w:val="0"/>
        <w:sz w:val="21"/>
      </w:rPr>
    </w:lvl>
    <w:lvl w:ilvl="3" w:tentative="0">
      <w:start w:val="1"/>
      <w:numFmt w:val="decimal"/>
      <w:pStyle w:val="531"/>
      <w:suff w:val="nothing"/>
      <w:lvlText w:val="%1.%2.%3.%4　"/>
      <w:lvlJc w:val="left"/>
      <w:pPr>
        <w:ind w:left="0" w:firstLine="0"/>
      </w:pPr>
      <w:rPr>
        <w:rFonts w:hint="eastAsia" w:ascii="黑体" w:hAnsi="Times New Roman" w:eastAsia="黑体"/>
        <w:b w:val="0"/>
        <w:i w:val="0"/>
        <w:sz w:val="21"/>
      </w:rPr>
    </w:lvl>
    <w:lvl w:ilvl="4" w:tentative="0">
      <w:start w:val="1"/>
      <w:numFmt w:val="decimal"/>
      <w:pStyle w:val="384"/>
      <w:suff w:val="nothing"/>
      <w:lvlText w:val="%1.%2.%3.%4.%5　"/>
      <w:lvlJc w:val="left"/>
      <w:pPr>
        <w:ind w:left="0" w:firstLine="0"/>
      </w:pPr>
      <w:rPr>
        <w:rFonts w:hint="eastAsia" w:ascii="黑体" w:hAnsi="Times New Roman" w:eastAsia="黑体"/>
        <w:b w:val="0"/>
        <w:i w:val="0"/>
        <w:sz w:val="21"/>
      </w:rPr>
    </w:lvl>
    <w:lvl w:ilvl="5" w:tentative="0">
      <w:start w:val="1"/>
      <w:numFmt w:val="decimal"/>
      <w:pStyle w:val="382"/>
      <w:suff w:val="nothing"/>
      <w:lvlText w:val="%1.%2.%3.%4.%5.%6　"/>
      <w:lvlJc w:val="left"/>
      <w:pPr>
        <w:ind w:left="0" w:firstLine="0"/>
      </w:pPr>
      <w:rPr>
        <w:rFonts w:hint="eastAsia" w:ascii="黑体" w:hAnsi="Times New Roman" w:eastAsia="黑体"/>
        <w:b w:val="0"/>
        <w:i w:val="0"/>
        <w:sz w:val="21"/>
      </w:rPr>
    </w:lvl>
    <w:lvl w:ilvl="6" w:tentative="0">
      <w:start w:val="1"/>
      <w:numFmt w:val="decimal"/>
      <w:pStyle w:val="36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03D62ECE"/>
    <w:multiLevelType w:val="multilevel"/>
    <w:tmpl w:val="03D62ECE"/>
    <w:lvl w:ilvl="0" w:tentative="0">
      <w:start w:val="1"/>
      <w:numFmt w:val="decimal"/>
      <w:pStyle w:val="426"/>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6">
    <w:nsid w:val="0E640482"/>
    <w:multiLevelType w:val="multilevel"/>
    <w:tmpl w:val="0E640482"/>
    <w:lvl w:ilvl="0" w:tentative="0">
      <w:start w:val="1"/>
      <w:numFmt w:val="decimal"/>
      <w:pStyle w:val="923"/>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2470EC97"/>
    <w:multiLevelType w:val="multilevel"/>
    <w:tmpl w:val="2470EC97"/>
    <w:lvl w:ilvl="0" w:tentative="0">
      <w:start w:val="1"/>
      <w:numFmt w:val="decimal"/>
      <w:pStyle w:val="516"/>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25B654F3"/>
    <w:multiLevelType w:val="multilevel"/>
    <w:tmpl w:val="25B654F3"/>
    <w:lvl w:ilvl="0" w:tentative="0">
      <w:start w:val="1"/>
      <w:numFmt w:val="lowerLetter"/>
      <w:pStyle w:val="473"/>
      <w:lvlText w:val="%1)"/>
      <w:lvlJc w:val="left"/>
      <w:pPr>
        <w:tabs>
          <w:tab w:val="left" w:pos="839"/>
        </w:tabs>
        <w:ind w:left="839" w:hanging="419"/>
      </w:pPr>
      <w:rPr>
        <w:rFonts w:hint="eastAsia" w:ascii="宋体" w:eastAsia="宋体"/>
        <w:b w:val="0"/>
        <w:i w:val="0"/>
        <w:sz w:val="21"/>
      </w:rPr>
    </w:lvl>
    <w:lvl w:ilvl="1" w:tentative="0">
      <w:start w:val="1"/>
      <w:numFmt w:val="decimal"/>
      <w:pStyle w:val="322"/>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9">
    <w:nsid w:val="2A8F537B"/>
    <w:multiLevelType w:val="multilevel"/>
    <w:tmpl w:val="2A8F537B"/>
    <w:lvl w:ilvl="0" w:tentative="0">
      <w:start w:val="1"/>
      <w:numFmt w:val="decimal"/>
      <w:pStyle w:val="365"/>
      <w:suff w:val="nothing"/>
      <w:lvlText w:val="%1注："/>
      <w:lvlJc w:val="left"/>
      <w:pPr>
        <w:ind w:left="726" w:hanging="363"/>
      </w:pPr>
      <w:rPr>
        <w:rFonts w:hint="eastAsia" w:ascii="黑体" w:hAnsi="Times New Roman" w:eastAsia="黑体"/>
        <w:b w:val="0"/>
        <w:i w:val="0"/>
        <w:sz w:val="18"/>
      </w:rPr>
    </w:lvl>
    <w:lvl w:ilvl="1" w:tentative="0">
      <w:start w:val="1"/>
      <w:numFmt w:val="lowerLetter"/>
      <w:pStyle w:val="485"/>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0">
    <w:nsid w:val="39A0D9AC"/>
    <w:multiLevelType w:val="multilevel"/>
    <w:tmpl w:val="39A0D9AC"/>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46A08BB8"/>
    <w:multiLevelType w:val="multilevel"/>
    <w:tmpl w:val="46A08BB8"/>
    <w:lvl w:ilvl="0" w:tentative="0">
      <w:start w:val="1"/>
      <w:numFmt w:val="decimal"/>
      <w:pStyle w:val="983"/>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22">
    <w:nsid w:val="4C1BAE26"/>
    <w:multiLevelType w:val="multilevel"/>
    <w:tmpl w:val="4C1BAE26"/>
    <w:lvl w:ilvl="0" w:tentative="0">
      <w:start w:val="1"/>
      <w:numFmt w:val="decimal"/>
      <w:pStyle w:val="554"/>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ascii="Times New Roman" w:hAnsi="Times New Roman" w:eastAsia="黑体"/>
        <w:b w:val="0"/>
        <w:i w:val="0"/>
        <w:sz w:val="21"/>
      </w:rPr>
    </w:lvl>
    <w:lvl w:ilvl="2" w:tentative="0">
      <w:start w:val="1"/>
      <w:numFmt w:val="decimal"/>
      <w:suff w:val="nothing"/>
      <w:lvlText w:val="%1%2.%3　"/>
      <w:lvlJc w:val="left"/>
      <w:pPr>
        <w:ind w:left="0" w:firstLine="0"/>
      </w:pPr>
      <w:rPr>
        <w:rFonts w:ascii="Times New Roman" w:hAnsi="Times New Roman" w:eastAsia="黑体"/>
        <w:b w:val="0"/>
        <w:i w:val="0"/>
        <w:sz w:val="21"/>
      </w:rPr>
    </w:lvl>
    <w:lvl w:ilvl="3" w:tentative="0">
      <w:start w:val="1"/>
      <w:numFmt w:val="decimal"/>
      <w:suff w:val="nothing"/>
      <w:lvlText w:val="%1%2.%3.%4　"/>
      <w:lvlJc w:val="left"/>
      <w:pPr>
        <w:ind w:left="0" w:firstLine="0"/>
      </w:pPr>
      <w:rPr>
        <w:rFonts w:ascii="Times New Roman" w:hAnsi="Times New Roman" w:eastAsia="黑体"/>
        <w:b w:val="0"/>
        <w:i w:val="0"/>
        <w:sz w:val="21"/>
      </w:rPr>
    </w:lvl>
    <w:lvl w:ilvl="4" w:tentative="0">
      <w:start w:val="1"/>
      <w:numFmt w:val="decimal"/>
      <w:suff w:val="nothing"/>
      <w:lvlText w:val="%1%2.%3.%4.%5　"/>
      <w:lvlJc w:val="left"/>
      <w:pPr>
        <w:ind w:left="0" w:firstLine="0"/>
      </w:pPr>
      <w:rPr>
        <w:rFonts w:ascii="Times New Roman" w:hAnsi="Times New Roman" w:eastAsia="黑体"/>
        <w:b w:val="0"/>
        <w:i w:val="0"/>
        <w:sz w:val="21"/>
      </w:rPr>
    </w:lvl>
    <w:lvl w:ilvl="5" w:tentative="0">
      <w:start w:val="1"/>
      <w:numFmt w:val="decimal"/>
      <w:suff w:val="nothing"/>
      <w:lvlText w:val="%1%2.%3.%4.%5.%6　"/>
      <w:lvlJc w:val="left"/>
      <w:pPr>
        <w:ind w:left="0" w:firstLine="0"/>
      </w:pPr>
      <w:rPr>
        <w:rFonts w:ascii="Times New Roman" w:hAnsi="Times New Roman" w:eastAsia="黑体"/>
        <w:b w:val="0"/>
        <w:i w:val="0"/>
        <w:sz w:val="21"/>
      </w:rPr>
    </w:lvl>
    <w:lvl w:ilvl="6" w:tentative="0">
      <w:start w:val="1"/>
      <w:numFmt w:val="decimal"/>
      <w:suff w:val="nothing"/>
      <w:lvlText w:val="%1%2.%3.%4.%5.%6.%7　"/>
      <w:lvlJc w:val="left"/>
      <w:pPr>
        <w:ind w:left="0" w:firstLine="0"/>
      </w:pPr>
      <w:rPr>
        <w:rFonts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3">
    <w:nsid w:val="4D4DC07F"/>
    <w:multiLevelType w:val="multilevel"/>
    <w:tmpl w:val="4D4DC07F"/>
    <w:lvl w:ilvl="0" w:tentative="0">
      <w:start w:val="1"/>
      <w:numFmt w:val="upperLetter"/>
      <w:pStyle w:val="428"/>
      <w:suff w:val="space"/>
      <w:lvlText w:val="%1"/>
      <w:lvlJc w:val="left"/>
      <w:pPr>
        <w:ind w:left="623" w:hanging="425"/>
      </w:pPr>
      <w:rPr>
        <w:rFonts w:hint="eastAsia"/>
      </w:rPr>
    </w:lvl>
    <w:lvl w:ilvl="1" w:tentative="0">
      <w:start w:val="1"/>
      <w:numFmt w:val="decimal"/>
      <w:pStyle w:val="548"/>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24">
    <w:nsid w:val="58765686"/>
    <w:multiLevelType w:val="multilevel"/>
    <w:tmpl w:val="58765686"/>
    <w:lvl w:ilvl="0" w:tentative="0">
      <w:start w:val="1"/>
      <w:numFmt w:val="japaneseCounting"/>
      <w:lvlText w:val="（%1）"/>
      <w:lvlJc w:val="left"/>
      <w:pPr>
        <w:ind w:left="1080" w:hanging="108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5">
    <w:nsid w:val="59ADCABA"/>
    <w:multiLevelType w:val="multilevel"/>
    <w:tmpl w:val="59ADCABA"/>
    <w:lvl w:ilvl="0" w:tentative="0">
      <w:start w:val="1"/>
      <w:numFmt w:val="lowerLetter"/>
      <w:pStyle w:val="214"/>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26">
    <w:nsid w:val="5A241D34"/>
    <w:multiLevelType w:val="multilevel"/>
    <w:tmpl w:val="5A241D34"/>
    <w:lvl w:ilvl="0" w:tentative="0">
      <w:start w:val="1"/>
      <w:numFmt w:val="lowerLetter"/>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481"/>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445"/>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27">
    <w:nsid w:val="60382F6E"/>
    <w:multiLevelType w:val="multilevel"/>
    <w:tmpl w:val="60382F6E"/>
    <w:lvl w:ilvl="0" w:tentative="0">
      <w:start w:val="1"/>
      <w:numFmt w:val="decimal"/>
      <w:pStyle w:val="613"/>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8">
    <w:nsid w:val="629F7852"/>
    <w:multiLevelType w:val="multilevel"/>
    <w:tmpl w:val="629F7852"/>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72183CF9"/>
    <w:multiLevelType w:val="multilevel"/>
    <w:tmpl w:val="72183CF9"/>
    <w:lvl w:ilvl="0" w:tentative="0">
      <w:start w:val="1"/>
      <w:numFmt w:val="decimal"/>
      <w:pStyle w:val="542"/>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0">
    <w:nsid w:val="77ECEA79"/>
    <w:multiLevelType w:val="multilevel"/>
    <w:tmpl w:val="77ECEA79"/>
    <w:lvl w:ilvl="0" w:tentative="0">
      <w:start w:val="1"/>
      <w:numFmt w:val="decimal"/>
      <w:lvlText w:val="（%1）"/>
      <w:lvlJc w:val="left"/>
      <w:pPr>
        <w:tabs>
          <w:tab w:val="left" w:pos="1077"/>
        </w:tabs>
        <w:ind w:left="988" w:firstLine="89"/>
      </w:pPr>
      <w:rPr>
        <w:rFonts w:hint="eastAsia"/>
        <w:lang w:val="en-US"/>
      </w:rPr>
    </w:lvl>
    <w:lvl w:ilvl="1" w:tentative="0">
      <w:start w:val="1"/>
      <w:numFmt w:val="decimal"/>
      <w:lvlText w:val="（%2）"/>
      <w:lvlJc w:val="left"/>
      <w:pPr>
        <w:tabs>
          <w:tab w:val="left" w:pos="603"/>
        </w:tabs>
        <w:ind w:left="873" w:hanging="448"/>
      </w:pPr>
      <w:rPr>
        <w:rFonts w:hint="eastAsia"/>
        <w:b w:val="0"/>
        <w:bCs/>
        <w:lang w:val="en-US"/>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1">
    <w:nsid w:val="7C246926"/>
    <w:multiLevelType w:val="multilevel"/>
    <w:tmpl w:val="7C246926"/>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3"/>
  </w:num>
  <w:num w:numId="2">
    <w:abstractNumId w:val="9"/>
  </w:num>
  <w:num w:numId="3">
    <w:abstractNumId w:val="25"/>
  </w:num>
  <w:num w:numId="4">
    <w:abstractNumId w:val="7"/>
  </w:num>
  <w:num w:numId="5">
    <w:abstractNumId w:val="5"/>
  </w:num>
  <w:num w:numId="6">
    <w:abstractNumId w:val="15"/>
  </w:num>
  <w:num w:numId="7">
    <w:abstractNumId w:val="18"/>
  </w:num>
  <w:num w:numId="8">
    <w:abstractNumId w:val="29"/>
  </w:num>
  <w:num w:numId="9">
    <w:abstractNumId w:val="14"/>
  </w:num>
  <w:num w:numId="10">
    <w:abstractNumId w:val="1"/>
  </w:num>
  <w:num w:numId="11">
    <w:abstractNumId w:val="19"/>
  </w:num>
  <w:num w:numId="12">
    <w:abstractNumId w:val="26"/>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7"/>
  </w:num>
  <w:num w:numId="22">
    <w:abstractNumId w:val="16"/>
  </w:num>
  <w:num w:numId="23">
    <w:abstractNumId w:val="21"/>
  </w:num>
  <w:num w:numId="24">
    <w:abstractNumId w:val="4"/>
  </w:num>
  <w:num w:numId="25">
    <w:abstractNumId w:val="31"/>
  </w:num>
  <w:num w:numId="26">
    <w:abstractNumId w:val="30"/>
  </w:num>
  <w:num w:numId="27">
    <w:abstractNumId w:val="6"/>
  </w:num>
  <w:num w:numId="28">
    <w:abstractNumId w:val="28"/>
  </w:num>
  <w:num w:numId="29">
    <w:abstractNumId w:val="2"/>
  </w:num>
  <w:num w:numId="30">
    <w:abstractNumId w:val="20"/>
  </w:num>
  <w:num w:numId="31">
    <w:abstractNumId w:val="0"/>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4MTk3Zjg5OTQzZWE2YThhMTc4MzBhODQxZjlkNTMifQ=="/>
  </w:docVars>
  <w:rsids>
    <w:rsidRoot w:val="00000000"/>
    <w:rsid w:val="08482524"/>
    <w:rsid w:val="1F57027B"/>
    <w:rsid w:val="42BC698B"/>
    <w:rsid w:val="539D5188"/>
    <w:rsid w:val="634459D4"/>
    <w:rsid w:val="73FB503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991"/>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qFormat/>
    <w:uiPriority w:val="1"/>
    <w:pPr>
      <w:ind w:left="102"/>
      <w:jc w:val="left"/>
      <w:outlineLvl w:val="1"/>
    </w:pPr>
    <w:rPr>
      <w:rFonts w:ascii="宋体" w:hAnsi="宋体"/>
      <w:sz w:val="31"/>
      <w:szCs w:val="31"/>
      <w:lang w:eastAsia="en-US"/>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3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qFormat/>
    <w:uiPriority w:val="0"/>
    <w:rPr>
      <w:rFonts w:ascii="宋体" w:hAnsi="Courier New" w:eastAsia="楷体_GB2312"/>
      <w:sz w:val="26"/>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74"/>
    <w:semiHidden/>
    <w:unhideWhenUsed/>
    <w:qFormat/>
    <w:uiPriority w:val="99"/>
    <w:pPr>
      <w:spacing w:after="0" w:line="240" w:lineRule="auto"/>
    </w:pPr>
    <w:rPr>
      <w:sz w:val="20"/>
    </w:rPr>
  </w:style>
  <w:style w:type="paragraph" w:styleId="19">
    <w:name w:val="footer"/>
    <w:basedOn w:val="1"/>
    <w:link w:val="48"/>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3"/>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表格内"/>
    <w:basedOn w:val="1"/>
    <w:next w:val="1"/>
    <w:qFormat/>
    <w:uiPriority w:val="0"/>
    <w:pPr>
      <w:widowControl/>
      <w:spacing w:line="400" w:lineRule="exact"/>
      <w:ind w:firstLine="0"/>
      <w:jc w:val="center"/>
    </w:pPr>
    <w:rPr>
      <w:rFonts w:hint="eastAsia" w:ascii="方正仿宋_GBK" w:hAnsi="方正仿宋_GBK"/>
      <w:color w:val="000000"/>
      <w:sz w:val="24"/>
      <w:szCs w:val="24"/>
      <w:u w:val="none"/>
      <w:lang w:bidi="ar"/>
    </w:rPr>
  </w:style>
  <w:style w:type="paragraph" w:customStyle="1" w:styleId="37">
    <w:name w:val="表格"/>
    <w:basedOn w:val="1"/>
    <w:qFormat/>
    <w:uiPriority w:val="0"/>
    <w:pPr>
      <w:jc w:val="center"/>
    </w:pPr>
    <w:rPr>
      <w:rFonts w:ascii="华文细黑" w:hAnsi="华文细黑"/>
    </w:rPr>
  </w:style>
  <w:style w:type="character" w:customStyle="1" w:styleId="38">
    <w:name w:val="Heading 6 Char"/>
    <w:link w:val="7"/>
    <w:qFormat/>
    <w:uiPriority w:val="9"/>
    <w:rPr>
      <w:rFonts w:ascii="Arial" w:hAnsi="Arial" w:eastAsia="Arial" w:cs="Arial"/>
      <w:b/>
      <w:bCs/>
      <w:sz w:val="22"/>
      <w:szCs w:val="22"/>
    </w:rPr>
  </w:style>
  <w:style w:type="character" w:customStyle="1" w:styleId="39">
    <w:name w:val="Heading 7 Char"/>
    <w:link w:val="8"/>
    <w:qFormat/>
    <w:uiPriority w:val="9"/>
    <w:rPr>
      <w:rFonts w:ascii="Arial" w:hAnsi="Arial" w:eastAsia="Arial" w:cs="Arial"/>
      <w:b/>
      <w:bCs/>
      <w:i/>
      <w:iCs/>
      <w:sz w:val="22"/>
      <w:szCs w:val="22"/>
    </w:rPr>
  </w:style>
  <w:style w:type="character" w:customStyle="1" w:styleId="40">
    <w:name w:val="Heading 8 Char"/>
    <w:link w:val="9"/>
    <w:qFormat/>
    <w:uiPriority w:val="9"/>
    <w:rPr>
      <w:rFonts w:ascii="Arial" w:hAnsi="Arial" w:eastAsia="Arial" w:cs="Arial"/>
      <w:i/>
      <w:iCs/>
      <w:sz w:val="22"/>
      <w:szCs w:val="22"/>
    </w:rPr>
  </w:style>
  <w:style w:type="character" w:customStyle="1" w:styleId="41">
    <w:name w:val="Heading 9 Char"/>
    <w:link w:val="10"/>
    <w:qFormat/>
    <w:uiPriority w:val="9"/>
    <w:rPr>
      <w:rFonts w:ascii="Arial" w:hAnsi="Arial" w:eastAsia="Arial" w:cs="Arial"/>
      <w:i/>
      <w:iCs/>
      <w:sz w:val="21"/>
      <w:szCs w:val="21"/>
    </w:rPr>
  </w:style>
  <w:style w:type="paragraph" w:styleId="42">
    <w:name w:val="No Spacing"/>
    <w:qFormat/>
    <w:uiPriority w:val="1"/>
    <w:pPr>
      <w:spacing w:before="0" w:after="0" w:line="240" w:lineRule="auto"/>
    </w:pPr>
    <w:rPr>
      <w:rFonts w:hint="default" w:ascii="Times New Roman" w:hAnsi="Times New Roman" w:eastAsia="宋体" w:cs="Times New Roman"/>
    </w:rPr>
  </w:style>
  <w:style w:type="character" w:customStyle="1" w:styleId="43">
    <w:name w:val="Subtitle Char"/>
    <w:link w:val="23"/>
    <w:qFormat/>
    <w:uiPriority w:val="11"/>
    <w:rPr>
      <w:sz w:val="24"/>
      <w:szCs w:val="24"/>
    </w:rPr>
  </w:style>
  <w:style w:type="paragraph" w:styleId="44">
    <w:name w:val="Quote"/>
    <w:basedOn w:val="1"/>
    <w:next w:val="1"/>
    <w:link w:val="45"/>
    <w:qFormat/>
    <w:uiPriority w:val="29"/>
    <w:pPr>
      <w:ind w:left="720" w:right="720"/>
    </w:pPr>
    <w:rPr>
      <w:i/>
    </w:rPr>
  </w:style>
  <w:style w:type="character" w:customStyle="1" w:styleId="45">
    <w:name w:val="Quote Char"/>
    <w:link w:val="44"/>
    <w:qFormat/>
    <w:uiPriority w:val="29"/>
    <w:rPr>
      <w:i/>
    </w:rPr>
  </w:style>
  <w:style w:type="paragraph" w:styleId="46">
    <w:name w:val="Intense Quote"/>
    <w:basedOn w:val="1"/>
    <w:next w:val="1"/>
    <w:link w:val="4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7">
    <w:name w:val="Intense Quote Char"/>
    <w:link w:val="46"/>
    <w:qFormat/>
    <w:uiPriority w:val="30"/>
    <w:rPr>
      <w:i/>
    </w:rPr>
  </w:style>
  <w:style w:type="character" w:customStyle="1" w:styleId="48">
    <w:name w:val="Caption Char"/>
    <w:link w:val="19"/>
    <w:qFormat/>
    <w:uiPriority w:val="99"/>
  </w:style>
  <w:style w:type="table" w:customStyle="1" w:styleId="4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4">
    <w:name w:val="Endnote Text Char"/>
    <w:link w:val="18"/>
    <w:qFormat/>
    <w:uiPriority w:val="99"/>
    <w:rPr>
      <w:sz w:val="20"/>
    </w:rPr>
  </w:style>
  <w:style w:type="paragraph" w:customStyle="1" w:styleId="175">
    <w:name w:val="TOC Heading"/>
    <w:unhideWhenUsed/>
    <w:qFormat/>
    <w:uiPriority w:val="39"/>
    <w:rPr>
      <w:rFonts w:hint="default" w:ascii="Times New Roman" w:hAnsi="Times New Roman" w:eastAsia="宋体" w:cs="Times New Roman"/>
    </w:rPr>
  </w:style>
  <w:style w:type="paragraph" w:customStyle="1" w:styleId="176">
    <w:name w:val="标题 11"/>
    <w:basedOn w:val="1"/>
    <w:next w:val="1"/>
    <w:link w:val="188"/>
    <w:qFormat/>
    <w:uiPriority w:val="0"/>
    <w:pPr>
      <w:keepNext/>
      <w:keepLines/>
      <w:spacing w:before="340" w:after="330" w:line="578" w:lineRule="auto"/>
      <w:outlineLvl w:val="0"/>
    </w:pPr>
    <w:rPr>
      <w:b/>
      <w:bCs/>
      <w:sz w:val="44"/>
      <w:szCs w:val="44"/>
    </w:rPr>
  </w:style>
  <w:style w:type="paragraph" w:customStyle="1" w:styleId="177">
    <w:name w:val="标题 21"/>
    <w:basedOn w:val="1"/>
    <w:next w:val="1"/>
    <w:link w:val="189"/>
    <w:qFormat/>
    <w:uiPriority w:val="0"/>
    <w:pPr>
      <w:keepNext/>
      <w:keepLines/>
      <w:spacing w:before="260" w:after="260" w:line="416" w:lineRule="auto"/>
      <w:outlineLvl w:val="1"/>
    </w:pPr>
    <w:rPr>
      <w:rFonts w:ascii="Arial" w:hAnsi="Arial" w:eastAsia="黑体" w:cs="Arial"/>
      <w:b/>
      <w:bCs/>
      <w:sz w:val="32"/>
      <w:szCs w:val="32"/>
    </w:rPr>
  </w:style>
  <w:style w:type="paragraph" w:customStyle="1" w:styleId="178">
    <w:name w:val="标题 31"/>
    <w:basedOn w:val="1"/>
    <w:next w:val="1"/>
    <w:link w:val="190"/>
    <w:qFormat/>
    <w:uiPriority w:val="0"/>
    <w:pPr>
      <w:keepNext/>
      <w:keepLines/>
      <w:widowControl/>
      <w:numPr>
        <w:ilvl w:val="2"/>
        <w:numId w:val="1"/>
      </w:numPr>
      <w:spacing w:before="120" w:after="120" w:line="360" w:lineRule="auto"/>
      <w:jc w:val="center"/>
      <w:outlineLvl w:val="2"/>
    </w:pPr>
    <w:rPr>
      <w:b/>
      <w:sz w:val="32"/>
    </w:rPr>
  </w:style>
  <w:style w:type="paragraph" w:customStyle="1" w:styleId="179">
    <w:name w:val="标题 41"/>
    <w:basedOn w:val="1"/>
    <w:next w:val="1"/>
    <w:link w:val="191"/>
    <w:qFormat/>
    <w:uiPriority w:val="0"/>
    <w:pPr>
      <w:keepNext/>
      <w:keepLines/>
      <w:spacing w:before="280" w:after="290" w:line="376" w:lineRule="auto"/>
      <w:outlineLvl w:val="3"/>
    </w:pPr>
    <w:rPr>
      <w:rFonts w:ascii="Arial" w:hAnsi="Arial" w:eastAsia="黑体"/>
      <w:b/>
      <w:bCs/>
      <w:sz w:val="28"/>
      <w:szCs w:val="28"/>
    </w:rPr>
  </w:style>
  <w:style w:type="paragraph" w:customStyle="1" w:styleId="180">
    <w:name w:val="标题 51"/>
    <w:basedOn w:val="1"/>
    <w:next w:val="1"/>
    <w:link w:val="192"/>
    <w:qFormat/>
    <w:uiPriority w:val="0"/>
    <w:pPr>
      <w:keepNext/>
      <w:keepLines/>
      <w:spacing w:before="280" w:after="290" w:line="372" w:lineRule="auto"/>
      <w:outlineLvl w:val="4"/>
    </w:pPr>
    <w:rPr>
      <w:rFonts w:ascii="Calibri" w:hAnsi="Calibri"/>
      <w:b/>
      <w:bCs/>
      <w:sz w:val="28"/>
      <w:szCs w:val="28"/>
    </w:rPr>
  </w:style>
  <w:style w:type="paragraph" w:customStyle="1" w:styleId="181">
    <w:name w:val="标题 61"/>
    <w:basedOn w:val="1"/>
    <w:next w:val="1"/>
    <w:link w:val="193"/>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sz w:val="24"/>
      <w:szCs w:val="24"/>
    </w:rPr>
  </w:style>
  <w:style w:type="paragraph" w:customStyle="1" w:styleId="182">
    <w:name w:val="标题 71"/>
    <w:basedOn w:val="1"/>
    <w:next w:val="1"/>
    <w:link w:val="194"/>
    <w:qFormat/>
    <w:uiPriority w:val="0"/>
    <w:pPr>
      <w:keepNext/>
      <w:keepLines/>
      <w:widowControl/>
      <w:tabs>
        <w:tab w:val="left" w:pos="2520"/>
      </w:tabs>
      <w:spacing w:before="240" w:after="64" w:line="320" w:lineRule="auto"/>
      <w:ind w:left="1296" w:hanging="1296"/>
      <w:jc w:val="left"/>
      <w:outlineLvl w:val="6"/>
    </w:pPr>
    <w:rPr>
      <w:b/>
      <w:bCs/>
      <w:sz w:val="24"/>
      <w:szCs w:val="24"/>
    </w:rPr>
  </w:style>
  <w:style w:type="paragraph" w:customStyle="1" w:styleId="183">
    <w:name w:val="标题 81"/>
    <w:basedOn w:val="1"/>
    <w:next w:val="1"/>
    <w:link w:val="195"/>
    <w:qFormat/>
    <w:uiPriority w:val="0"/>
    <w:pPr>
      <w:keepNext/>
      <w:keepLines/>
      <w:widowControl/>
      <w:tabs>
        <w:tab w:val="left" w:pos="1440"/>
      </w:tabs>
      <w:spacing w:before="240" w:after="64" w:line="320" w:lineRule="auto"/>
      <w:ind w:left="1440" w:hanging="1440"/>
      <w:jc w:val="left"/>
      <w:outlineLvl w:val="7"/>
    </w:pPr>
    <w:rPr>
      <w:rFonts w:ascii="Arial" w:hAnsi="Arial" w:eastAsia="黑体"/>
      <w:sz w:val="24"/>
      <w:szCs w:val="24"/>
    </w:rPr>
  </w:style>
  <w:style w:type="paragraph" w:customStyle="1" w:styleId="184">
    <w:name w:val="标题 91"/>
    <w:basedOn w:val="1"/>
    <w:next w:val="1"/>
    <w:link w:val="196"/>
    <w:qFormat/>
    <w:uiPriority w:val="0"/>
    <w:pPr>
      <w:keepNext/>
      <w:keepLines/>
      <w:widowControl/>
      <w:tabs>
        <w:tab w:val="left" w:pos="1584"/>
      </w:tabs>
      <w:spacing w:before="240" w:after="64" w:line="320" w:lineRule="auto"/>
      <w:ind w:left="1584" w:hanging="1584"/>
      <w:jc w:val="left"/>
      <w:outlineLvl w:val="8"/>
    </w:pPr>
    <w:rPr>
      <w:rFonts w:ascii="Arial" w:hAnsi="Arial" w:eastAsia="黑体"/>
      <w:szCs w:val="21"/>
    </w:rPr>
  </w:style>
  <w:style w:type="character" w:customStyle="1" w:styleId="185">
    <w:name w:val="默认段落字体1"/>
    <w:link w:val="1"/>
    <w:qFormat/>
    <w:uiPriority w:val="0"/>
  </w:style>
  <w:style w:type="table" w:customStyle="1" w:styleId="186">
    <w:name w:val="普通表格1"/>
    <w:semiHidden/>
    <w:qFormat/>
    <w:uiPriority w:val="0"/>
  </w:style>
  <w:style w:type="paragraph" w:customStyle="1" w:styleId="187">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character" w:customStyle="1" w:styleId="188">
    <w:name w:val="标题 1 字符2"/>
    <w:link w:val="176"/>
    <w:qFormat/>
    <w:uiPriority w:val="0"/>
    <w:rPr>
      <w:rFonts w:eastAsia="宋体"/>
      <w:b/>
      <w:bCs/>
      <w:sz w:val="44"/>
      <w:szCs w:val="44"/>
      <w:lang w:val="en-US" w:eastAsia="zh-CN" w:bidi="ar-SA"/>
    </w:rPr>
  </w:style>
  <w:style w:type="character" w:customStyle="1" w:styleId="189">
    <w:name w:val="标题 2 字符2"/>
    <w:link w:val="177"/>
    <w:qFormat/>
    <w:uiPriority w:val="0"/>
    <w:rPr>
      <w:rFonts w:ascii="Arial" w:hAnsi="Arial" w:eastAsia="黑体" w:cs="Arial"/>
      <w:b/>
      <w:bCs/>
      <w:sz w:val="32"/>
      <w:szCs w:val="32"/>
      <w:lang w:val="en-US" w:eastAsia="zh-CN" w:bidi="ar-SA"/>
    </w:rPr>
  </w:style>
  <w:style w:type="character" w:customStyle="1" w:styleId="190">
    <w:name w:val="标题 3 字符2"/>
    <w:link w:val="178"/>
    <w:qFormat/>
    <w:uiPriority w:val="0"/>
    <w:rPr>
      <w:b/>
      <w:sz w:val="32"/>
    </w:rPr>
  </w:style>
  <w:style w:type="character" w:customStyle="1" w:styleId="191">
    <w:name w:val="标题 4 字符2"/>
    <w:link w:val="179"/>
    <w:qFormat/>
    <w:uiPriority w:val="0"/>
    <w:rPr>
      <w:rFonts w:ascii="Arial" w:hAnsi="Arial" w:eastAsia="黑体"/>
      <w:b/>
      <w:bCs/>
      <w:sz w:val="28"/>
      <w:szCs w:val="28"/>
    </w:rPr>
  </w:style>
  <w:style w:type="character" w:customStyle="1" w:styleId="192">
    <w:name w:val="标题 5 字符2"/>
    <w:link w:val="180"/>
    <w:qFormat/>
    <w:uiPriority w:val="0"/>
    <w:rPr>
      <w:rFonts w:ascii="Calibri" w:hAnsi="Calibri"/>
      <w:b/>
      <w:bCs/>
      <w:sz w:val="28"/>
      <w:szCs w:val="28"/>
    </w:rPr>
  </w:style>
  <w:style w:type="character" w:customStyle="1" w:styleId="193">
    <w:name w:val="标题 6 字符2"/>
    <w:link w:val="181"/>
    <w:qFormat/>
    <w:uiPriority w:val="0"/>
    <w:rPr>
      <w:rFonts w:ascii="Arial" w:hAnsi="Arial" w:eastAsia="黑体"/>
      <w:b/>
      <w:bCs/>
      <w:sz w:val="24"/>
      <w:szCs w:val="24"/>
    </w:rPr>
  </w:style>
  <w:style w:type="character" w:customStyle="1" w:styleId="194">
    <w:name w:val="标题 7 字符2"/>
    <w:link w:val="182"/>
    <w:qFormat/>
    <w:uiPriority w:val="0"/>
    <w:rPr>
      <w:b/>
      <w:bCs/>
      <w:sz w:val="24"/>
      <w:szCs w:val="24"/>
    </w:rPr>
  </w:style>
  <w:style w:type="character" w:customStyle="1" w:styleId="195">
    <w:name w:val="标题 8 字符2"/>
    <w:link w:val="183"/>
    <w:qFormat/>
    <w:uiPriority w:val="0"/>
    <w:rPr>
      <w:rFonts w:ascii="Arial" w:hAnsi="Arial" w:eastAsia="黑体"/>
      <w:sz w:val="24"/>
      <w:szCs w:val="24"/>
    </w:rPr>
  </w:style>
  <w:style w:type="character" w:customStyle="1" w:styleId="196">
    <w:name w:val="标题 9 字符2"/>
    <w:link w:val="184"/>
    <w:qFormat/>
    <w:uiPriority w:val="0"/>
    <w:rPr>
      <w:rFonts w:ascii="Arial" w:hAnsi="Arial" w:eastAsia="黑体"/>
      <w:sz w:val="21"/>
      <w:szCs w:val="21"/>
    </w:rPr>
  </w:style>
  <w:style w:type="paragraph" w:customStyle="1" w:styleId="197">
    <w:name w:val="目录 71"/>
    <w:basedOn w:val="1"/>
    <w:next w:val="1"/>
    <w:qFormat/>
    <w:uiPriority w:val="0"/>
    <w:pPr>
      <w:tabs>
        <w:tab w:val="right" w:leader="dot" w:pos="9241"/>
      </w:tabs>
      <w:ind w:firstLine="505"/>
      <w:jc w:val="left"/>
    </w:pPr>
    <w:rPr>
      <w:rFonts w:ascii="宋体"/>
      <w:szCs w:val="21"/>
    </w:rPr>
  </w:style>
  <w:style w:type="paragraph" w:customStyle="1" w:styleId="198">
    <w:name w:val="索引 81"/>
    <w:basedOn w:val="1"/>
    <w:next w:val="1"/>
    <w:qFormat/>
    <w:uiPriority w:val="0"/>
    <w:pPr>
      <w:ind w:left="1680" w:hanging="210"/>
      <w:jc w:val="left"/>
    </w:pPr>
    <w:rPr>
      <w:rFonts w:ascii="Calibri" w:hAnsi="Calibri"/>
      <w:sz w:val="20"/>
    </w:rPr>
  </w:style>
  <w:style w:type="paragraph" w:customStyle="1" w:styleId="199">
    <w:name w:val="正文缩进1"/>
    <w:basedOn w:val="1"/>
    <w:link w:val="200"/>
    <w:qFormat/>
    <w:uiPriority w:val="0"/>
    <w:pPr>
      <w:ind w:firstLine="420"/>
    </w:pPr>
  </w:style>
  <w:style w:type="character" w:customStyle="1" w:styleId="200">
    <w:name w:val="正文缩进 字符2"/>
    <w:link w:val="199"/>
    <w:qFormat/>
    <w:uiPriority w:val="0"/>
    <w:rPr>
      <w:sz w:val="21"/>
    </w:rPr>
  </w:style>
  <w:style w:type="paragraph" w:customStyle="1" w:styleId="201">
    <w:name w:val="题注1"/>
    <w:basedOn w:val="1"/>
    <w:next w:val="1"/>
    <w:qFormat/>
    <w:uiPriority w:val="0"/>
    <w:pPr>
      <w:numPr>
        <w:ilvl w:val="0"/>
        <w:numId w:val="2"/>
      </w:numPr>
      <w:spacing w:before="152" w:after="160"/>
      <w:ind w:left="0" w:firstLine="0"/>
    </w:pPr>
    <w:rPr>
      <w:rFonts w:ascii="Arial" w:hAnsi="Arial" w:eastAsia="黑体" w:cs="Arial"/>
      <w:sz w:val="20"/>
    </w:rPr>
  </w:style>
  <w:style w:type="paragraph" w:customStyle="1" w:styleId="202">
    <w:name w:val="索引 51"/>
    <w:basedOn w:val="1"/>
    <w:next w:val="1"/>
    <w:qFormat/>
    <w:uiPriority w:val="0"/>
    <w:pPr>
      <w:ind w:left="1050" w:hanging="210"/>
      <w:jc w:val="left"/>
    </w:pPr>
    <w:rPr>
      <w:rFonts w:ascii="Calibri" w:hAnsi="Calibri"/>
      <w:sz w:val="20"/>
    </w:rPr>
  </w:style>
  <w:style w:type="paragraph" w:customStyle="1" w:styleId="203">
    <w:name w:val="文档结构图1"/>
    <w:basedOn w:val="1"/>
    <w:link w:val="204"/>
    <w:qFormat/>
    <w:uiPriority w:val="0"/>
    <w:pPr>
      <w:shd w:val="clear" w:color="auto" w:fill="000080"/>
    </w:pPr>
  </w:style>
  <w:style w:type="character" w:customStyle="1" w:styleId="204">
    <w:name w:val="文档结构图 字符3"/>
    <w:link w:val="203"/>
    <w:qFormat/>
    <w:uiPriority w:val="0"/>
    <w:rPr>
      <w:sz w:val="21"/>
      <w:shd w:val="clear" w:color="auto" w:fill="000080"/>
    </w:rPr>
  </w:style>
  <w:style w:type="paragraph" w:customStyle="1" w:styleId="205">
    <w:name w:val="批注文字1"/>
    <w:basedOn w:val="1"/>
    <w:link w:val="206"/>
    <w:qFormat/>
    <w:uiPriority w:val="0"/>
    <w:pPr>
      <w:jc w:val="left"/>
    </w:pPr>
    <w:rPr>
      <w:szCs w:val="21"/>
    </w:rPr>
  </w:style>
  <w:style w:type="character" w:customStyle="1" w:styleId="206">
    <w:name w:val="批注文字 字符4"/>
    <w:link w:val="205"/>
    <w:qFormat/>
    <w:uiPriority w:val="0"/>
    <w:rPr>
      <w:sz w:val="21"/>
      <w:szCs w:val="21"/>
    </w:rPr>
  </w:style>
  <w:style w:type="paragraph" w:customStyle="1" w:styleId="207">
    <w:name w:val="索引 61"/>
    <w:basedOn w:val="1"/>
    <w:next w:val="1"/>
    <w:qFormat/>
    <w:uiPriority w:val="0"/>
    <w:pPr>
      <w:ind w:left="1260" w:hanging="210"/>
      <w:jc w:val="left"/>
    </w:pPr>
    <w:rPr>
      <w:rFonts w:ascii="Calibri" w:hAnsi="Calibri"/>
      <w:sz w:val="20"/>
    </w:rPr>
  </w:style>
  <w:style w:type="paragraph" w:customStyle="1" w:styleId="208">
    <w:name w:val="称呼1"/>
    <w:basedOn w:val="1"/>
    <w:next w:val="1"/>
    <w:link w:val="209"/>
    <w:qFormat/>
    <w:uiPriority w:val="0"/>
    <w:pPr>
      <w:spacing w:after="20" w:line="288" w:lineRule="auto"/>
      <w:ind w:firstLine="420"/>
    </w:pPr>
    <w:rPr>
      <w:rFonts w:ascii="楷体_GB2312" w:hAnsi="楷体_GB2312" w:eastAsia="等线"/>
      <w:sz w:val="28"/>
      <w:szCs w:val="24"/>
    </w:rPr>
  </w:style>
  <w:style w:type="character" w:customStyle="1" w:styleId="209">
    <w:name w:val="称呼 字符3"/>
    <w:link w:val="208"/>
    <w:qFormat/>
    <w:uiPriority w:val="0"/>
    <w:rPr>
      <w:rFonts w:ascii="楷体_GB2312" w:hAnsi="楷体_GB2312" w:eastAsia="等线"/>
      <w:sz w:val="28"/>
      <w:szCs w:val="24"/>
    </w:rPr>
  </w:style>
  <w:style w:type="paragraph" w:customStyle="1" w:styleId="210">
    <w:name w:val="正文文本 31"/>
    <w:basedOn w:val="1"/>
    <w:link w:val="211"/>
    <w:qFormat/>
    <w:uiPriority w:val="0"/>
    <w:rPr>
      <w:rFonts w:ascii="宋体"/>
      <w:sz w:val="24"/>
    </w:rPr>
  </w:style>
  <w:style w:type="character" w:customStyle="1" w:styleId="211">
    <w:name w:val="正文文本 3 字符3"/>
    <w:link w:val="210"/>
    <w:qFormat/>
    <w:uiPriority w:val="0"/>
    <w:rPr>
      <w:rFonts w:ascii="宋体"/>
      <w:sz w:val="24"/>
    </w:rPr>
  </w:style>
  <w:style w:type="paragraph" w:customStyle="1" w:styleId="212">
    <w:name w:val="结束语1"/>
    <w:basedOn w:val="1"/>
    <w:link w:val="213"/>
    <w:qFormat/>
    <w:uiPriority w:val="0"/>
    <w:pPr>
      <w:spacing w:after="20" w:line="288" w:lineRule="auto"/>
      <w:ind w:left="100" w:firstLine="420"/>
    </w:pPr>
    <w:rPr>
      <w:rFonts w:ascii="楷体_GB2312" w:hAnsi="楷体_GB2312" w:eastAsia="等线"/>
      <w:sz w:val="28"/>
      <w:szCs w:val="24"/>
    </w:rPr>
  </w:style>
  <w:style w:type="character" w:customStyle="1" w:styleId="213">
    <w:name w:val="结束语 字符3"/>
    <w:link w:val="212"/>
    <w:qFormat/>
    <w:uiPriority w:val="0"/>
    <w:rPr>
      <w:rFonts w:ascii="楷体_GB2312" w:hAnsi="楷体_GB2312" w:eastAsia="等线"/>
      <w:sz w:val="28"/>
      <w:szCs w:val="24"/>
    </w:rPr>
  </w:style>
  <w:style w:type="paragraph" w:customStyle="1" w:styleId="214">
    <w:name w:val="列表项目符号 31"/>
    <w:basedOn w:val="1"/>
    <w:qFormat/>
    <w:uiPriority w:val="0"/>
    <w:pPr>
      <w:numPr>
        <w:ilvl w:val="0"/>
        <w:numId w:val="3"/>
      </w:numPr>
    </w:pPr>
    <w:rPr>
      <w:rFonts w:ascii="楷体_GB2312" w:hAnsi="楷体_GB2312" w:eastAsia="等线" w:cs="楷体_GB2312"/>
      <w:szCs w:val="24"/>
    </w:rPr>
  </w:style>
  <w:style w:type="paragraph" w:customStyle="1" w:styleId="215">
    <w:name w:val="正文文本1"/>
    <w:basedOn w:val="1"/>
    <w:link w:val="216"/>
    <w:qFormat/>
    <w:uiPriority w:val="0"/>
    <w:rPr>
      <w:rFonts w:ascii="华文中宋" w:eastAsia="华文中宋"/>
      <w:bCs/>
      <w:sz w:val="28"/>
    </w:rPr>
  </w:style>
  <w:style w:type="character" w:customStyle="1" w:styleId="216">
    <w:name w:val="正文文本 字符3"/>
    <w:link w:val="215"/>
    <w:qFormat/>
    <w:uiPriority w:val="0"/>
    <w:rPr>
      <w:rFonts w:ascii="华文中宋" w:eastAsia="华文中宋"/>
      <w:bCs/>
      <w:sz w:val="28"/>
    </w:rPr>
  </w:style>
  <w:style w:type="paragraph" w:customStyle="1" w:styleId="217">
    <w:name w:val="正文文本缩进1"/>
    <w:basedOn w:val="1"/>
    <w:next w:val="218"/>
    <w:link w:val="219"/>
    <w:qFormat/>
    <w:uiPriority w:val="0"/>
    <w:pPr>
      <w:spacing w:after="120"/>
      <w:ind w:left="420"/>
    </w:pPr>
  </w:style>
  <w:style w:type="paragraph" w:customStyle="1" w:styleId="218">
    <w:name w:val="寄信人地址1"/>
    <w:basedOn w:val="1"/>
    <w:unhideWhenUsed/>
    <w:qFormat/>
    <w:uiPriority w:val="99"/>
    <w:rPr>
      <w:rFonts w:hint="eastAsia" w:ascii="Arial" w:hAnsi="Arial"/>
      <w:sz w:val="24"/>
    </w:rPr>
  </w:style>
  <w:style w:type="character" w:customStyle="1" w:styleId="219">
    <w:name w:val="正文文本缩进 字符4"/>
    <w:link w:val="217"/>
    <w:qFormat/>
    <w:uiPriority w:val="0"/>
    <w:rPr>
      <w:sz w:val="21"/>
    </w:rPr>
  </w:style>
  <w:style w:type="paragraph" w:customStyle="1" w:styleId="220">
    <w:name w:val="文本块1"/>
    <w:basedOn w:val="1"/>
    <w:qFormat/>
    <w:uiPriority w:val="0"/>
    <w:pPr>
      <w:ind w:left="420" w:right="33"/>
      <w:jc w:val="left"/>
    </w:pPr>
    <w:rPr>
      <w:sz w:val="24"/>
      <w:szCs w:val="20"/>
    </w:rPr>
  </w:style>
  <w:style w:type="paragraph" w:customStyle="1" w:styleId="221">
    <w:name w:val="列表项目符号 21"/>
    <w:basedOn w:val="1"/>
    <w:qFormat/>
    <w:uiPriority w:val="0"/>
    <w:pPr>
      <w:numPr>
        <w:ilvl w:val="0"/>
        <w:numId w:val="4"/>
      </w:numPr>
      <w:tabs>
        <w:tab w:val="left" w:pos="780"/>
      </w:tabs>
      <w:ind w:left="780"/>
    </w:pPr>
    <w:rPr>
      <w:rFonts w:ascii="楷体_GB2312" w:hAnsi="楷体_GB2312" w:eastAsia="等线" w:cs="楷体_GB2312"/>
      <w:szCs w:val="24"/>
    </w:rPr>
  </w:style>
  <w:style w:type="paragraph" w:customStyle="1" w:styleId="222">
    <w:name w:val="索引 41"/>
    <w:basedOn w:val="1"/>
    <w:next w:val="1"/>
    <w:qFormat/>
    <w:uiPriority w:val="0"/>
    <w:pPr>
      <w:ind w:left="840" w:hanging="210"/>
      <w:jc w:val="left"/>
    </w:pPr>
    <w:rPr>
      <w:rFonts w:ascii="Calibri" w:hAnsi="Calibri"/>
      <w:sz w:val="20"/>
    </w:rPr>
  </w:style>
  <w:style w:type="paragraph" w:customStyle="1" w:styleId="223">
    <w:name w:val="目录 51"/>
    <w:basedOn w:val="1"/>
    <w:next w:val="1"/>
    <w:qFormat/>
    <w:uiPriority w:val="0"/>
    <w:pPr>
      <w:tabs>
        <w:tab w:val="right" w:leader="dot" w:pos="9241"/>
      </w:tabs>
      <w:ind w:firstLine="300"/>
      <w:jc w:val="left"/>
    </w:pPr>
    <w:rPr>
      <w:rFonts w:ascii="宋体"/>
      <w:szCs w:val="21"/>
    </w:rPr>
  </w:style>
  <w:style w:type="paragraph" w:customStyle="1" w:styleId="224">
    <w:name w:val="目录 31"/>
    <w:basedOn w:val="1"/>
    <w:next w:val="1"/>
    <w:qFormat/>
    <w:uiPriority w:val="0"/>
    <w:pPr>
      <w:tabs>
        <w:tab w:val="right" w:leader="dot" w:pos="9241"/>
      </w:tabs>
      <w:ind w:firstLine="102"/>
      <w:jc w:val="left"/>
    </w:pPr>
    <w:rPr>
      <w:rFonts w:ascii="宋体"/>
      <w:szCs w:val="21"/>
    </w:rPr>
  </w:style>
  <w:style w:type="paragraph" w:customStyle="1" w:styleId="225">
    <w:name w:val="纯文本11"/>
    <w:basedOn w:val="1"/>
    <w:link w:val="226"/>
    <w:qFormat/>
    <w:uiPriority w:val="0"/>
    <w:rPr>
      <w:rFonts w:ascii="宋体" w:hAnsi="Courier New"/>
    </w:rPr>
  </w:style>
  <w:style w:type="character" w:customStyle="1" w:styleId="226">
    <w:name w:val="纯文本 字符3"/>
    <w:link w:val="225"/>
    <w:qFormat/>
    <w:uiPriority w:val="99"/>
    <w:rPr>
      <w:rFonts w:ascii="宋体" w:hAnsi="Courier New"/>
      <w:sz w:val="21"/>
    </w:rPr>
  </w:style>
  <w:style w:type="paragraph" w:customStyle="1" w:styleId="227">
    <w:name w:val="列表项目符号 51"/>
    <w:basedOn w:val="1"/>
    <w:qFormat/>
    <w:uiPriority w:val="0"/>
    <w:pPr>
      <w:widowControl/>
      <w:numPr>
        <w:ilvl w:val="0"/>
        <w:numId w:val="5"/>
      </w:numPr>
      <w:tabs>
        <w:tab w:val="left" w:pos="2040"/>
      </w:tabs>
      <w:spacing w:line="360" w:lineRule="exact"/>
    </w:pPr>
    <w:rPr>
      <w:rFonts w:ascii="楷体_GB2312" w:hAnsi="楷体_GB2312" w:cs="楷体_GB2312"/>
      <w:sz w:val="24"/>
    </w:rPr>
  </w:style>
  <w:style w:type="paragraph" w:customStyle="1" w:styleId="228">
    <w:name w:val="目录 81"/>
    <w:basedOn w:val="1"/>
    <w:next w:val="1"/>
    <w:qFormat/>
    <w:uiPriority w:val="0"/>
    <w:pPr>
      <w:tabs>
        <w:tab w:val="right" w:leader="dot" w:pos="9241"/>
      </w:tabs>
      <w:ind w:firstLine="607"/>
      <w:jc w:val="left"/>
    </w:pPr>
    <w:rPr>
      <w:rFonts w:ascii="宋体"/>
      <w:szCs w:val="21"/>
    </w:rPr>
  </w:style>
  <w:style w:type="paragraph" w:customStyle="1" w:styleId="229">
    <w:name w:val="索引 31"/>
    <w:basedOn w:val="1"/>
    <w:next w:val="1"/>
    <w:qFormat/>
    <w:uiPriority w:val="0"/>
    <w:pPr>
      <w:ind w:left="630" w:hanging="210"/>
      <w:jc w:val="left"/>
    </w:pPr>
    <w:rPr>
      <w:rFonts w:ascii="Calibri" w:hAnsi="Calibri"/>
      <w:sz w:val="20"/>
    </w:rPr>
  </w:style>
  <w:style w:type="paragraph" w:customStyle="1" w:styleId="230">
    <w:name w:val="日期1"/>
    <w:basedOn w:val="1"/>
    <w:next w:val="1"/>
    <w:link w:val="231"/>
    <w:qFormat/>
    <w:uiPriority w:val="0"/>
    <w:rPr>
      <w:sz w:val="24"/>
    </w:rPr>
  </w:style>
  <w:style w:type="character" w:customStyle="1" w:styleId="231">
    <w:name w:val="日期 字符3"/>
    <w:link w:val="230"/>
    <w:qFormat/>
    <w:uiPriority w:val="0"/>
    <w:rPr>
      <w:sz w:val="24"/>
    </w:rPr>
  </w:style>
  <w:style w:type="paragraph" w:customStyle="1" w:styleId="232">
    <w:name w:val="正文文本缩进 21"/>
    <w:basedOn w:val="1"/>
    <w:link w:val="233"/>
    <w:qFormat/>
    <w:uiPriority w:val="0"/>
    <w:pPr>
      <w:spacing w:line="480" w:lineRule="exact"/>
      <w:ind w:firstLine="480"/>
    </w:pPr>
    <w:rPr>
      <w:rFonts w:ascii="宋体"/>
      <w:sz w:val="28"/>
    </w:rPr>
  </w:style>
  <w:style w:type="character" w:customStyle="1" w:styleId="233">
    <w:name w:val="正文文本缩进 2 字符3"/>
    <w:link w:val="232"/>
    <w:qFormat/>
    <w:uiPriority w:val="0"/>
    <w:rPr>
      <w:rFonts w:ascii="宋体"/>
      <w:sz w:val="28"/>
    </w:rPr>
  </w:style>
  <w:style w:type="paragraph" w:customStyle="1" w:styleId="234">
    <w:name w:val="尾注文本1"/>
    <w:basedOn w:val="1"/>
    <w:link w:val="235"/>
    <w:semiHidden/>
    <w:qFormat/>
    <w:uiPriority w:val="0"/>
    <w:pPr>
      <w:jc w:val="left"/>
    </w:pPr>
    <w:rPr>
      <w:szCs w:val="24"/>
    </w:rPr>
  </w:style>
  <w:style w:type="character" w:customStyle="1" w:styleId="235">
    <w:name w:val="尾注文本 字符"/>
    <w:link w:val="234"/>
    <w:semiHidden/>
    <w:qFormat/>
    <w:uiPriority w:val="0"/>
    <w:rPr>
      <w:sz w:val="21"/>
      <w:szCs w:val="24"/>
    </w:rPr>
  </w:style>
  <w:style w:type="paragraph" w:customStyle="1" w:styleId="236">
    <w:name w:val="批注框文本1"/>
    <w:basedOn w:val="1"/>
    <w:link w:val="237"/>
    <w:qFormat/>
    <w:uiPriority w:val="0"/>
    <w:rPr>
      <w:sz w:val="18"/>
      <w:szCs w:val="18"/>
    </w:rPr>
  </w:style>
  <w:style w:type="character" w:customStyle="1" w:styleId="237">
    <w:name w:val="批注框文本 字符3"/>
    <w:link w:val="236"/>
    <w:qFormat/>
    <w:uiPriority w:val="0"/>
    <w:rPr>
      <w:rFonts w:eastAsia="宋体"/>
      <w:sz w:val="18"/>
      <w:szCs w:val="18"/>
      <w:lang w:val="en-US" w:eastAsia="zh-CN" w:bidi="ar-SA"/>
    </w:rPr>
  </w:style>
  <w:style w:type="paragraph" w:customStyle="1" w:styleId="238">
    <w:name w:val="页脚1"/>
    <w:basedOn w:val="1"/>
    <w:link w:val="239"/>
    <w:qFormat/>
    <w:uiPriority w:val="99"/>
    <w:pPr>
      <w:tabs>
        <w:tab w:val="center" w:pos="4153"/>
        <w:tab w:val="right" w:pos="8306"/>
      </w:tabs>
      <w:jc w:val="left"/>
    </w:pPr>
    <w:rPr>
      <w:sz w:val="18"/>
      <w:szCs w:val="18"/>
    </w:rPr>
  </w:style>
  <w:style w:type="character" w:customStyle="1" w:styleId="239">
    <w:name w:val="页脚 字符3"/>
    <w:link w:val="238"/>
    <w:qFormat/>
    <w:uiPriority w:val="99"/>
    <w:rPr>
      <w:rFonts w:eastAsia="宋体"/>
      <w:sz w:val="18"/>
      <w:szCs w:val="18"/>
      <w:lang w:val="en-US" w:eastAsia="zh-CN" w:bidi="ar-SA"/>
    </w:rPr>
  </w:style>
  <w:style w:type="paragraph" w:customStyle="1" w:styleId="240">
    <w:name w:val="页眉11"/>
    <w:basedOn w:val="1"/>
    <w:link w:val="241"/>
    <w:qFormat/>
    <w:uiPriority w:val="0"/>
    <w:pPr>
      <w:pBdr>
        <w:bottom w:val="single" w:color="000000" w:sz="6" w:space="1"/>
      </w:pBdr>
      <w:tabs>
        <w:tab w:val="center" w:pos="4153"/>
        <w:tab w:val="right" w:pos="8306"/>
      </w:tabs>
      <w:jc w:val="center"/>
    </w:pPr>
    <w:rPr>
      <w:sz w:val="18"/>
      <w:szCs w:val="18"/>
    </w:rPr>
  </w:style>
  <w:style w:type="character" w:customStyle="1" w:styleId="241">
    <w:name w:val="页眉 字符3"/>
    <w:link w:val="240"/>
    <w:qFormat/>
    <w:uiPriority w:val="0"/>
    <w:rPr>
      <w:rFonts w:eastAsia="宋体"/>
      <w:sz w:val="18"/>
      <w:szCs w:val="18"/>
      <w:lang w:val="en-US" w:eastAsia="zh-CN" w:bidi="ar-SA"/>
    </w:rPr>
  </w:style>
  <w:style w:type="paragraph" w:customStyle="1" w:styleId="242">
    <w:name w:val="目录 11"/>
    <w:basedOn w:val="1"/>
    <w:next w:val="1"/>
    <w:qFormat/>
    <w:uiPriority w:val="0"/>
    <w:pPr>
      <w:widowControl/>
      <w:tabs>
        <w:tab w:val="right" w:leader="dot" w:pos="9170"/>
      </w:tabs>
      <w:spacing w:before="120" w:after="120"/>
      <w:jc w:val="center"/>
    </w:pPr>
    <w:rPr>
      <w:rFonts w:eastAsia="文鼎小标宋简"/>
      <w:caps/>
      <w:color w:val="000000"/>
      <w:sz w:val="32"/>
      <w:szCs w:val="32"/>
    </w:rPr>
  </w:style>
  <w:style w:type="paragraph" w:customStyle="1" w:styleId="243">
    <w:name w:val="目录 41"/>
    <w:basedOn w:val="1"/>
    <w:next w:val="1"/>
    <w:qFormat/>
    <w:uiPriority w:val="0"/>
    <w:pPr>
      <w:tabs>
        <w:tab w:val="right" w:leader="dot" w:pos="9241"/>
      </w:tabs>
      <w:ind w:firstLine="198"/>
      <w:jc w:val="left"/>
    </w:pPr>
    <w:rPr>
      <w:rFonts w:ascii="宋体"/>
      <w:szCs w:val="21"/>
    </w:rPr>
  </w:style>
  <w:style w:type="paragraph" w:customStyle="1" w:styleId="244">
    <w:name w:val="索引标题1"/>
    <w:basedOn w:val="1"/>
    <w:next w:val="245"/>
    <w:qFormat/>
    <w:uiPriority w:val="0"/>
    <w:pPr>
      <w:spacing w:before="120" w:after="120"/>
      <w:jc w:val="center"/>
    </w:pPr>
    <w:rPr>
      <w:rFonts w:ascii="Calibri" w:hAnsi="Calibri"/>
      <w:b/>
      <w:bCs/>
      <w:iCs/>
    </w:rPr>
  </w:style>
  <w:style w:type="paragraph" w:customStyle="1" w:styleId="245">
    <w:name w:val="索引 11"/>
    <w:basedOn w:val="1"/>
    <w:next w:val="246"/>
    <w:qFormat/>
    <w:uiPriority w:val="0"/>
    <w:pPr>
      <w:tabs>
        <w:tab w:val="right" w:leader="dot" w:pos="9299"/>
      </w:tabs>
      <w:jc w:val="left"/>
    </w:pPr>
    <w:rPr>
      <w:rFonts w:ascii="宋体"/>
      <w:szCs w:val="21"/>
    </w:rPr>
  </w:style>
  <w:style w:type="paragraph" w:customStyle="1" w:styleId="246">
    <w:name w:val="段"/>
    <w:next w:val="1"/>
    <w:link w:val="247"/>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247">
    <w:name w:val="段 Char"/>
    <w:link w:val="246"/>
    <w:qFormat/>
    <w:uiPriority w:val="0"/>
    <w:rPr>
      <w:rFonts w:ascii="宋体"/>
      <w:sz w:val="21"/>
      <w:lang w:val="en-US" w:eastAsia="zh-CN" w:bidi="ar-SA"/>
    </w:rPr>
  </w:style>
  <w:style w:type="paragraph" w:customStyle="1" w:styleId="248">
    <w:name w:val="副标题1"/>
    <w:basedOn w:val="1"/>
    <w:next w:val="1"/>
    <w:link w:val="249"/>
    <w:qFormat/>
    <w:uiPriority w:val="0"/>
    <w:pPr>
      <w:spacing w:before="240" w:after="60" w:line="312" w:lineRule="auto"/>
      <w:jc w:val="center"/>
      <w:outlineLvl w:val="1"/>
    </w:pPr>
    <w:rPr>
      <w:rFonts w:ascii="Cambria" w:hAnsi="Cambria"/>
      <w:b/>
      <w:bCs/>
      <w:sz w:val="32"/>
      <w:szCs w:val="32"/>
    </w:rPr>
  </w:style>
  <w:style w:type="character" w:customStyle="1" w:styleId="249">
    <w:name w:val="副标题 字符3"/>
    <w:link w:val="248"/>
    <w:qFormat/>
    <w:uiPriority w:val="11"/>
    <w:rPr>
      <w:rFonts w:ascii="Cambria" w:hAnsi="Cambria"/>
      <w:b/>
      <w:bCs/>
      <w:sz w:val="32"/>
      <w:szCs w:val="32"/>
    </w:rPr>
  </w:style>
  <w:style w:type="paragraph" w:customStyle="1" w:styleId="250">
    <w:name w:val="列表1"/>
    <w:basedOn w:val="1"/>
    <w:unhideWhenUsed/>
    <w:qFormat/>
    <w:uiPriority w:val="0"/>
    <w:pPr>
      <w:ind w:firstLine="420"/>
    </w:pPr>
    <w:rPr>
      <w:rFonts w:ascii="Times New Roman" w:hAnsi="Times New Roman" w:eastAsia="宋体" w:cs="Times New Roman"/>
      <w:szCs w:val="20"/>
    </w:rPr>
  </w:style>
  <w:style w:type="paragraph" w:customStyle="1" w:styleId="251">
    <w:name w:val="脚注文本1"/>
    <w:basedOn w:val="1"/>
    <w:link w:val="252"/>
    <w:qFormat/>
    <w:uiPriority w:val="0"/>
    <w:pPr>
      <w:numPr>
        <w:ilvl w:val="0"/>
        <w:numId w:val="6"/>
      </w:numPr>
      <w:jc w:val="left"/>
    </w:pPr>
    <w:rPr>
      <w:rFonts w:ascii="宋体"/>
      <w:sz w:val="18"/>
      <w:szCs w:val="18"/>
    </w:rPr>
  </w:style>
  <w:style w:type="character" w:customStyle="1" w:styleId="252">
    <w:name w:val="脚注文本 字符3"/>
    <w:link w:val="251"/>
    <w:qFormat/>
    <w:uiPriority w:val="0"/>
    <w:rPr>
      <w:rFonts w:ascii="宋体"/>
      <w:sz w:val="18"/>
      <w:szCs w:val="18"/>
    </w:rPr>
  </w:style>
  <w:style w:type="paragraph" w:customStyle="1" w:styleId="253">
    <w:name w:val="目录 61"/>
    <w:basedOn w:val="1"/>
    <w:next w:val="1"/>
    <w:qFormat/>
    <w:uiPriority w:val="0"/>
    <w:pPr>
      <w:tabs>
        <w:tab w:val="right" w:leader="dot" w:pos="9241"/>
      </w:tabs>
      <w:ind w:firstLine="403"/>
      <w:jc w:val="left"/>
    </w:pPr>
    <w:rPr>
      <w:rFonts w:ascii="宋体"/>
      <w:szCs w:val="21"/>
    </w:rPr>
  </w:style>
  <w:style w:type="paragraph" w:customStyle="1" w:styleId="254">
    <w:name w:val="正文文本缩进 31"/>
    <w:basedOn w:val="1"/>
    <w:link w:val="255"/>
    <w:qFormat/>
    <w:uiPriority w:val="0"/>
    <w:pPr>
      <w:spacing w:after="120"/>
      <w:ind w:left="420"/>
    </w:pPr>
    <w:rPr>
      <w:sz w:val="16"/>
      <w:szCs w:val="16"/>
    </w:rPr>
  </w:style>
  <w:style w:type="character" w:customStyle="1" w:styleId="255">
    <w:name w:val="正文文本缩进 3 字符3"/>
    <w:link w:val="254"/>
    <w:qFormat/>
    <w:uiPriority w:val="0"/>
    <w:rPr>
      <w:sz w:val="16"/>
      <w:szCs w:val="16"/>
    </w:rPr>
  </w:style>
  <w:style w:type="paragraph" w:customStyle="1" w:styleId="256">
    <w:name w:val="索引 71"/>
    <w:basedOn w:val="1"/>
    <w:next w:val="1"/>
    <w:qFormat/>
    <w:uiPriority w:val="0"/>
    <w:pPr>
      <w:ind w:left="1470" w:hanging="210"/>
      <w:jc w:val="left"/>
    </w:pPr>
    <w:rPr>
      <w:rFonts w:ascii="Calibri" w:hAnsi="Calibri"/>
      <w:sz w:val="20"/>
    </w:rPr>
  </w:style>
  <w:style w:type="paragraph" w:customStyle="1" w:styleId="257">
    <w:name w:val="索引 91"/>
    <w:basedOn w:val="1"/>
    <w:next w:val="1"/>
    <w:qFormat/>
    <w:uiPriority w:val="0"/>
    <w:pPr>
      <w:ind w:left="1890" w:hanging="210"/>
      <w:jc w:val="left"/>
    </w:pPr>
    <w:rPr>
      <w:rFonts w:ascii="Calibri" w:hAnsi="Calibri"/>
      <w:sz w:val="20"/>
    </w:rPr>
  </w:style>
  <w:style w:type="paragraph" w:customStyle="1" w:styleId="258">
    <w:name w:val="图表目录1"/>
    <w:basedOn w:val="1"/>
    <w:next w:val="1"/>
    <w:semiHidden/>
    <w:qFormat/>
    <w:uiPriority w:val="0"/>
    <w:pPr>
      <w:ind w:hanging="200"/>
    </w:pPr>
    <w:rPr>
      <w:szCs w:val="21"/>
    </w:rPr>
  </w:style>
  <w:style w:type="paragraph" w:customStyle="1" w:styleId="259">
    <w:name w:val="目录 21"/>
    <w:basedOn w:val="1"/>
    <w:next w:val="1"/>
    <w:qFormat/>
    <w:uiPriority w:val="39"/>
    <w:pPr>
      <w:widowControl/>
      <w:tabs>
        <w:tab w:val="right" w:leader="dot" w:pos="9170"/>
      </w:tabs>
      <w:ind w:left="210" w:firstLine="150"/>
      <w:jc w:val="left"/>
    </w:pPr>
    <w:rPr>
      <w:smallCaps/>
      <w:color w:val="000000"/>
      <w:sz w:val="20"/>
    </w:rPr>
  </w:style>
  <w:style w:type="paragraph" w:customStyle="1" w:styleId="260">
    <w:name w:val="目录 91"/>
    <w:basedOn w:val="1"/>
    <w:next w:val="1"/>
    <w:qFormat/>
    <w:uiPriority w:val="0"/>
    <w:pPr>
      <w:ind w:left="1470"/>
      <w:jc w:val="left"/>
    </w:pPr>
    <w:rPr>
      <w:sz w:val="20"/>
    </w:rPr>
  </w:style>
  <w:style w:type="paragraph" w:customStyle="1" w:styleId="261">
    <w:name w:val="正文文本 21"/>
    <w:basedOn w:val="1"/>
    <w:link w:val="262"/>
    <w:qFormat/>
    <w:uiPriority w:val="0"/>
    <w:pPr>
      <w:tabs>
        <w:tab w:val="left" w:pos="540"/>
      </w:tabs>
      <w:spacing w:line="360" w:lineRule="auto"/>
    </w:pPr>
    <w:rPr>
      <w:rFonts w:ascii="宋体"/>
      <w:color w:val="000000"/>
      <w:sz w:val="28"/>
    </w:rPr>
  </w:style>
  <w:style w:type="character" w:customStyle="1" w:styleId="262">
    <w:name w:val="正文文本 2 字符3"/>
    <w:link w:val="261"/>
    <w:qFormat/>
    <w:uiPriority w:val="99"/>
    <w:rPr>
      <w:rFonts w:ascii="宋体"/>
      <w:color w:val="000000"/>
      <w:sz w:val="28"/>
    </w:rPr>
  </w:style>
  <w:style w:type="paragraph" w:customStyle="1" w:styleId="263">
    <w:name w:val="HTML 预设格式1"/>
    <w:basedOn w:val="1"/>
    <w:link w:val="264"/>
    <w:qFormat/>
    <w:uiPriority w:val="0"/>
    <w:rPr>
      <w:rFonts w:ascii="Courier New" w:hAnsi="Courier New"/>
      <w:sz w:val="20"/>
    </w:rPr>
  </w:style>
  <w:style w:type="character" w:customStyle="1" w:styleId="264">
    <w:name w:val="HTML 预设格式 字符3"/>
    <w:link w:val="263"/>
    <w:qFormat/>
    <w:uiPriority w:val="0"/>
    <w:rPr>
      <w:rFonts w:ascii="Courier New" w:hAnsi="Courier New" w:cs="Courier New"/>
    </w:rPr>
  </w:style>
  <w:style w:type="paragraph" w:customStyle="1" w:styleId="265">
    <w:name w:val="普通(网站)1"/>
    <w:basedOn w:val="1"/>
    <w:link w:val="266"/>
    <w:qFormat/>
    <w:uiPriority w:val="99"/>
    <w:pPr>
      <w:widowControl/>
      <w:spacing w:before="100" w:beforeAutospacing="1" w:after="100" w:afterAutospacing="1" w:line="283" w:lineRule="atLeast"/>
      <w:jc w:val="left"/>
    </w:pPr>
    <w:rPr>
      <w:rFonts w:ascii="宋体" w:hAnsi="宋体"/>
      <w:color w:val="000000"/>
      <w:sz w:val="19"/>
      <w:szCs w:val="19"/>
    </w:rPr>
  </w:style>
  <w:style w:type="character" w:customStyle="1" w:styleId="266">
    <w:name w:val="普通(网站) 字符2"/>
    <w:link w:val="265"/>
    <w:qFormat/>
    <w:uiPriority w:val="0"/>
    <w:rPr>
      <w:rFonts w:ascii="宋体" w:hAnsi="宋体"/>
      <w:color w:val="000000"/>
      <w:sz w:val="19"/>
      <w:szCs w:val="19"/>
    </w:rPr>
  </w:style>
  <w:style w:type="paragraph" w:customStyle="1" w:styleId="267">
    <w:name w:val="索引 21"/>
    <w:basedOn w:val="1"/>
    <w:next w:val="1"/>
    <w:qFormat/>
    <w:uiPriority w:val="0"/>
    <w:pPr>
      <w:ind w:left="420" w:hanging="210"/>
      <w:jc w:val="left"/>
    </w:pPr>
    <w:rPr>
      <w:rFonts w:ascii="Calibri" w:hAnsi="Calibri"/>
      <w:sz w:val="20"/>
    </w:rPr>
  </w:style>
  <w:style w:type="paragraph" w:customStyle="1" w:styleId="268">
    <w:name w:val="标题1"/>
    <w:basedOn w:val="1"/>
    <w:link w:val="269"/>
    <w:qFormat/>
    <w:uiPriority w:val="0"/>
    <w:pPr>
      <w:spacing w:before="120" w:after="120" w:line="360" w:lineRule="auto"/>
      <w:jc w:val="center"/>
      <w:outlineLvl w:val="0"/>
    </w:pPr>
    <w:rPr>
      <w:rFonts w:ascii="黑体" w:hAnsi="Arial" w:eastAsia="黑体"/>
      <w:b/>
      <w:bCs/>
      <w:sz w:val="32"/>
      <w:szCs w:val="32"/>
    </w:rPr>
  </w:style>
  <w:style w:type="character" w:customStyle="1" w:styleId="269">
    <w:name w:val="标题 字符3"/>
    <w:link w:val="268"/>
    <w:qFormat/>
    <w:uiPriority w:val="10"/>
    <w:rPr>
      <w:rFonts w:ascii="黑体" w:hAnsi="Arial" w:eastAsia="黑体" w:cs="Arial"/>
      <w:b/>
      <w:bCs/>
      <w:sz w:val="32"/>
      <w:szCs w:val="32"/>
    </w:rPr>
  </w:style>
  <w:style w:type="paragraph" w:customStyle="1" w:styleId="270">
    <w:name w:val="批注主题1"/>
    <w:basedOn w:val="205"/>
    <w:next w:val="205"/>
    <w:link w:val="271"/>
    <w:qFormat/>
    <w:uiPriority w:val="0"/>
    <w:rPr>
      <w:b/>
      <w:bCs/>
    </w:rPr>
  </w:style>
  <w:style w:type="character" w:customStyle="1" w:styleId="271">
    <w:name w:val="批注主题 字符3"/>
    <w:link w:val="270"/>
    <w:qFormat/>
    <w:uiPriority w:val="99"/>
    <w:rPr>
      <w:b/>
      <w:bCs/>
      <w:sz w:val="21"/>
      <w:szCs w:val="21"/>
    </w:rPr>
  </w:style>
  <w:style w:type="paragraph" w:customStyle="1" w:styleId="272">
    <w:name w:val="正文首行缩进1"/>
    <w:basedOn w:val="215"/>
    <w:next w:val="1"/>
    <w:link w:val="273"/>
    <w:qFormat/>
    <w:uiPriority w:val="0"/>
    <w:pPr>
      <w:spacing w:after="120"/>
      <w:ind w:firstLine="420"/>
    </w:pPr>
    <w:rPr>
      <w:rFonts w:ascii="Times New Roman" w:eastAsia="宋体"/>
      <w:b/>
      <w:bCs w:val="0"/>
      <w:sz w:val="21"/>
      <w:szCs w:val="24"/>
    </w:rPr>
  </w:style>
  <w:style w:type="character" w:customStyle="1" w:styleId="273">
    <w:name w:val="正文文本首行缩进 字符"/>
    <w:link w:val="272"/>
    <w:qFormat/>
    <w:uiPriority w:val="0"/>
    <w:rPr>
      <w:rFonts w:eastAsia="宋体"/>
      <w:b/>
      <w:sz w:val="21"/>
      <w:szCs w:val="24"/>
      <w:lang w:val="en-US" w:eastAsia="zh-CN" w:bidi="ar-SA"/>
    </w:rPr>
  </w:style>
  <w:style w:type="paragraph" w:customStyle="1" w:styleId="274">
    <w:name w:val="正文首行缩进 21"/>
    <w:basedOn w:val="217"/>
    <w:link w:val="275"/>
    <w:qFormat/>
    <w:uiPriority w:val="0"/>
    <w:pPr>
      <w:ind w:firstLine="420"/>
    </w:pPr>
  </w:style>
  <w:style w:type="character" w:customStyle="1" w:styleId="275">
    <w:name w:val="正文文本首行缩进 2 字符3"/>
    <w:link w:val="274"/>
    <w:qFormat/>
    <w:uiPriority w:val="99"/>
  </w:style>
  <w:style w:type="table" w:customStyle="1" w:styleId="276">
    <w:name w:val="网格型111"/>
    <w:basedOn w:val="186"/>
    <w:unhideWhenUsed/>
    <w:qFormat/>
    <w:uiPriority w:val="0"/>
    <w:pPr>
      <w:widowControl w:val="0"/>
      <w:jc w:val="both"/>
    </w:pPr>
  </w:style>
  <w:style w:type="table" w:customStyle="1" w:styleId="277">
    <w:name w:val="网格型 2111"/>
    <w:basedOn w:val="186"/>
    <w:qFormat/>
    <w:uiPriority w:val="0"/>
    <w:pPr>
      <w:widowControl w:val="0"/>
      <w:jc w:val="both"/>
    </w:pPr>
    <w:rPr>
      <w:rFonts w:ascii="楷体_GB2312" w:hAnsi="楷体_GB2312" w:eastAsia="等线" w:cs="楷体_GB2312"/>
    </w:rPr>
  </w:style>
  <w:style w:type="character" w:customStyle="1" w:styleId="278">
    <w:name w:val="要点1"/>
    <w:link w:val="1"/>
    <w:qFormat/>
    <w:uiPriority w:val="22"/>
    <w:rPr>
      <w:rFonts w:cs="Times New Roman"/>
      <w:b/>
      <w:bCs/>
    </w:rPr>
  </w:style>
  <w:style w:type="character" w:customStyle="1" w:styleId="279">
    <w:name w:val="页码1"/>
    <w:link w:val="1"/>
    <w:qFormat/>
    <w:uiPriority w:val="0"/>
    <w:rPr>
      <w:rFonts w:ascii="Times New Roman" w:hAnsi="Times New Roman" w:eastAsia="宋体"/>
      <w:sz w:val="18"/>
    </w:rPr>
  </w:style>
  <w:style w:type="character" w:customStyle="1" w:styleId="280">
    <w:name w:val="已访问的超链接1"/>
    <w:link w:val="1"/>
    <w:qFormat/>
    <w:uiPriority w:val="99"/>
    <w:rPr>
      <w:color w:val="800080"/>
      <w:u w:val="single"/>
    </w:rPr>
  </w:style>
  <w:style w:type="character" w:customStyle="1" w:styleId="281">
    <w:name w:val="强调1"/>
    <w:link w:val="1"/>
    <w:qFormat/>
    <w:uiPriority w:val="0"/>
    <w:rPr>
      <w:rFonts w:cs="Times New Roman"/>
      <w:i/>
      <w:iCs/>
    </w:rPr>
  </w:style>
  <w:style w:type="character" w:customStyle="1" w:styleId="282">
    <w:name w:val="HTML 打字机1"/>
    <w:link w:val="1"/>
    <w:qFormat/>
    <w:uiPriority w:val="0"/>
    <w:rPr>
      <w:rFonts w:ascii="宋体" w:hAnsi="宋体" w:eastAsia="宋体" w:cs="宋体"/>
      <w:sz w:val="24"/>
      <w:szCs w:val="24"/>
    </w:rPr>
  </w:style>
  <w:style w:type="character" w:customStyle="1" w:styleId="283">
    <w:name w:val="超链接1"/>
    <w:link w:val="1"/>
    <w:qFormat/>
    <w:uiPriority w:val="99"/>
    <w:rPr>
      <w:color w:val="0000FF"/>
      <w:spacing w:val="0"/>
      <w:szCs w:val="21"/>
      <w:u w:val="single"/>
    </w:rPr>
  </w:style>
  <w:style w:type="character" w:customStyle="1" w:styleId="284">
    <w:name w:val="批注引用1"/>
    <w:link w:val="1"/>
    <w:qFormat/>
    <w:uiPriority w:val="0"/>
    <w:rPr>
      <w:sz w:val="21"/>
      <w:szCs w:val="21"/>
    </w:rPr>
  </w:style>
  <w:style w:type="character" w:customStyle="1" w:styleId="285">
    <w:name w:val="脚注引用1"/>
    <w:link w:val="1"/>
    <w:qFormat/>
    <w:uiPriority w:val="0"/>
    <w:rPr>
      <w:rFonts w:ascii="Verdana" w:hAnsi="Verdana" w:eastAsia="Verdana"/>
      <w:vertAlign w:val="superscript"/>
    </w:rPr>
  </w:style>
  <w:style w:type="paragraph" w:customStyle="1" w:styleId="286">
    <w:name w:val="_Style 1"/>
    <w:basedOn w:val="1"/>
    <w:qFormat/>
    <w:uiPriority w:val="0"/>
    <w:pPr>
      <w:spacing w:line="360" w:lineRule="auto"/>
      <w:ind w:firstLine="420"/>
    </w:pPr>
    <w:rPr>
      <w:rFonts w:ascii="Calibri" w:hAnsi="Calibri"/>
      <w:sz w:val="24"/>
      <w:szCs w:val="22"/>
    </w:rPr>
  </w:style>
  <w:style w:type="character" w:customStyle="1" w:styleId="287">
    <w:name w:val="正文文本 + 间距 0 pt14"/>
    <w:link w:val="1"/>
    <w:qFormat/>
    <w:uiPriority w:val="0"/>
    <w:rPr>
      <w:rFonts w:ascii="MingLiU" w:eastAsia="MingLiU" w:cs="MingLiU"/>
      <w:color w:val="0000FD"/>
      <w:spacing w:val="10"/>
      <w:sz w:val="19"/>
      <w:szCs w:val="19"/>
      <w:u w:val="none"/>
      <w:lang w:val="en-US" w:eastAsia="zh-CN" w:bidi="ar-SA"/>
    </w:rPr>
  </w:style>
  <w:style w:type="character" w:customStyle="1" w:styleId="288">
    <w:name w:val=" Char Char3"/>
    <w:link w:val="1"/>
    <w:qFormat/>
    <w:uiPriority w:val="0"/>
    <w:rPr>
      <w:rFonts w:ascii="黑体" w:hAnsi="宋体" w:eastAsia="黑体" w:cs="Arial"/>
      <w:b/>
      <w:bCs/>
      <w:sz w:val="24"/>
      <w:szCs w:val="24"/>
      <w:lang w:val="en-US" w:eastAsia="zh-CN" w:bidi="ar-SA"/>
    </w:rPr>
  </w:style>
  <w:style w:type="character" w:customStyle="1" w:styleId="289">
    <w:name w:val="font31"/>
    <w:link w:val="1"/>
    <w:qFormat/>
    <w:uiPriority w:val="0"/>
    <w:rPr>
      <w:rFonts w:hint="eastAsia" w:ascii="宋体" w:hAnsi="宋体" w:eastAsia="宋体" w:cs="宋体"/>
      <w:color w:val="000000"/>
      <w:sz w:val="22"/>
      <w:szCs w:val="22"/>
      <w:u w:val="none"/>
    </w:rPr>
  </w:style>
  <w:style w:type="character" w:customStyle="1" w:styleId="290">
    <w:name w:val="font21"/>
    <w:link w:val="1"/>
    <w:qFormat/>
    <w:uiPriority w:val="0"/>
    <w:rPr>
      <w:rFonts w:ascii="Times New Roman" w:hAnsi="Times New Roman" w:cs="Times New Roman"/>
      <w:color w:val="000000"/>
      <w:sz w:val="24"/>
      <w:szCs w:val="24"/>
      <w:u w:val="none"/>
    </w:rPr>
  </w:style>
  <w:style w:type="character" w:customStyle="1" w:styleId="291">
    <w:name w:val="不明显参考"/>
    <w:link w:val="1"/>
    <w:qFormat/>
    <w:uiPriority w:val="0"/>
    <w:rPr>
      <w:smallCaps/>
      <w:color w:val="C0504D"/>
      <w:u w:val="single"/>
    </w:rPr>
  </w:style>
  <w:style w:type="character" w:customStyle="1" w:styleId="292">
    <w:name w:val="标题5 Char Char"/>
    <w:link w:val="293"/>
    <w:qFormat/>
    <w:uiPriority w:val="0"/>
    <w:rPr>
      <w:rFonts w:ascii="Arial" w:hAnsi="Arial"/>
      <w:b/>
      <w:bCs/>
      <w:sz w:val="24"/>
      <w:szCs w:val="32"/>
    </w:rPr>
  </w:style>
  <w:style w:type="paragraph" w:customStyle="1" w:styleId="293">
    <w:name w:val="标题5"/>
    <w:basedOn w:val="178"/>
    <w:link w:val="292"/>
    <w:qFormat/>
    <w:uiPriority w:val="0"/>
    <w:pPr>
      <w:widowControl w:val="0"/>
      <w:numPr>
        <w:ilvl w:val="0"/>
        <w:numId w:val="0"/>
      </w:numPr>
      <w:tabs>
        <w:tab w:val="clear" w:pos="720"/>
      </w:tabs>
      <w:spacing w:before="260" w:after="260" w:line="413" w:lineRule="auto"/>
      <w:jc w:val="both"/>
    </w:pPr>
    <w:rPr>
      <w:rFonts w:ascii="Arial" w:hAnsi="Arial"/>
      <w:bCs/>
      <w:sz w:val="24"/>
      <w:szCs w:val="32"/>
    </w:rPr>
  </w:style>
  <w:style w:type="character" w:customStyle="1" w:styleId="294">
    <w:name w:val="正文文本 + 间距 0 pt"/>
    <w:link w:val="1"/>
    <w:qFormat/>
    <w:uiPriority w:val="0"/>
    <w:rPr>
      <w:rFonts w:ascii="MingLiU" w:eastAsia="MingLiU" w:cs="MingLiU"/>
      <w:spacing w:val="10"/>
      <w:sz w:val="19"/>
      <w:szCs w:val="19"/>
      <w:u w:val="none"/>
      <w:lang w:val="en-US" w:eastAsia="zh-CN" w:bidi="ar-SA"/>
    </w:rPr>
  </w:style>
  <w:style w:type="character" w:customStyle="1" w:styleId="295">
    <w:name w:val="文档结构图 Char1"/>
    <w:link w:val="1"/>
    <w:qFormat/>
    <w:uiPriority w:val="0"/>
    <w:rPr>
      <w:rFonts w:ascii="宋体"/>
      <w:sz w:val="18"/>
      <w:szCs w:val="18"/>
    </w:rPr>
  </w:style>
  <w:style w:type="character" w:customStyle="1" w:styleId="296">
    <w:name w:val="font41"/>
    <w:link w:val="1"/>
    <w:qFormat/>
    <w:uiPriority w:val="0"/>
    <w:rPr>
      <w:rFonts w:hint="eastAsia" w:ascii="宋体" w:hAnsi="宋体" w:eastAsia="宋体" w:cs="宋体"/>
      <w:color w:val="000000"/>
      <w:sz w:val="24"/>
      <w:szCs w:val="24"/>
      <w:u w:val="none"/>
    </w:rPr>
  </w:style>
  <w:style w:type="character" w:customStyle="1" w:styleId="297">
    <w:name w:val=" Char Char1"/>
    <w:link w:val="1"/>
    <w:qFormat/>
    <w:uiPriority w:val="0"/>
    <w:rPr>
      <w:rFonts w:ascii="黑体" w:hAnsi="Arial" w:eastAsia="黑体" w:cs="Arial"/>
      <w:b/>
      <w:bCs/>
      <w:sz w:val="32"/>
      <w:szCs w:val="32"/>
      <w:lang w:val="en-US" w:eastAsia="zh-CN" w:bidi="ar-SA"/>
    </w:rPr>
  </w:style>
  <w:style w:type="character" w:customStyle="1" w:styleId="298">
    <w:name w:val="批注主题 Char1"/>
    <w:link w:val="1"/>
    <w:qFormat/>
    <w:uiPriority w:val="0"/>
    <w:rPr>
      <w:b/>
      <w:bCs/>
      <w:sz w:val="21"/>
      <w:szCs w:val="22"/>
    </w:rPr>
  </w:style>
  <w:style w:type="character" w:customStyle="1" w:styleId="299">
    <w:name w:val="明显参考"/>
    <w:link w:val="1"/>
    <w:qFormat/>
    <w:uiPriority w:val="0"/>
    <w:rPr>
      <w:b/>
      <w:bCs/>
      <w:smallCaps/>
      <w:color w:val="C0504D"/>
      <w:spacing w:val="5"/>
      <w:u w:val="single"/>
    </w:rPr>
  </w:style>
  <w:style w:type="character" w:customStyle="1" w:styleId="300">
    <w:name w:val="正文文本 + 间距 0 pt5"/>
    <w:link w:val="1"/>
    <w:qFormat/>
    <w:uiPriority w:val="0"/>
    <w:rPr>
      <w:rFonts w:ascii="MingLiU" w:eastAsia="MingLiU" w:cs="MingLiU"/>
      <w:spacing w:val="10"/>
      <w:sz w:val="19"/>
      <w:szCs w:val="19"/>
      <w:u w:val="single"/>
      <w:lang w:val="en-US" w:eastAsia="zh-CN" w:bidi="ar-SA"/>
    </w:rPr>
  </w:style>
  <w:style w:type="character" w:customStyle="1" w:styleId="301">
    <w:name w:val="正文文本 Char1"/>
    <w:link w:val="1"/>
    <w:qFormat/>
    <w:uiPriority w:val="0"/>
    <w:rPr>
      <w:rFonts w:ascii="华文中宋" w:eastAsia="华文中宋"/>
      <w:bCs/>
      <w:sz w:val="28"/>
    </w:rPr>
  </w:style>
  <w:style w:type="character" w:customStyle="1" w:styleId="302">
    <w:name w:val="正文文本 + Gungsuh14"/>
    <w:link w:val="1"/>
    <w:qFormat/>
    <w:uiPriority w:val="0"/>
    <w:rPr>
      <w:rFonts w:ascii="Gungsuh" w:eastAsia="Gungsuh" w:cs="Gungsuh"/>
      <w:b/>
      <w:color w:val="0000FD"/>
      <w:spacing w:val="10"/>
      <w:sz w:val="16"/>
      <w:szCs w:val="16"/>
      <w:u w:val="single"/>
      <w:lang w:val="en-US" w:eastAsia="en-US" w:bidi="ar-SA"/>
    </w:rPr>
  </w:style>
  <w:style w:type="character" w:customStyle="1" w:styleId="303">
    <w:name w:val="CITE"/>
    <w:link w:val="1"/>
    <w:qFormat/>
    <w:uiPriority w:val="0"/>
    <w:rPr>
      <w:i/>
    </w:rPr>
  </w:style>
  <w:style w:type="character" w:customStyle="1" w:styleId="304">
    <w:name w:val="Typewriter"/>
    <w:link w:val="1"/>
    <w:qFormat/>
    <w:uiPriority w:val="0"/>
    <w:rPr>
      <w:rFonts w:ascii="Courier New" w:hAnsi="Courier New"/>
      <w:sz w:val="20"/>
    </w:rPr>
  </w:style>
  <w:style w:type="character" w:customStyle="1" w:styleId="305">
    <w:name w:val="日期 Char1"/>
    <w:link w:val="1"/>
    <w:qFormat/>
    <w:uiPriority w:val="0"/>
    <w:rPr>
      <w:sz w:val="21"/>
      <w:szCs w:val="22"/>
    </w:rPr>
  </w:style>
  <w:style w:type="character" w:customStyle="1" w:styleId="306">
    <w:name w:val="正文文本 + Gungsuh13"/>
    <w:link w:val="1"/>
    <w:qFormat/>
    <w:uiPriority w:val="0"/>
    <w:rPr>
      <w:rFonts w:ascii="Gungsuh" w:eastAsia="Gungsuh" w:cs="Gungsuh"/>
      <w:b/>
      <w:color w:val="0000FD"/>
      <w:spacing w:val="10"/>
      <w:sz w:val="16"/>
      <w:szCs w:val="16"/>
      <w:u w:val="none"/>
      <w:lang w:val="en-US" w:eastAsia="en-US" w:bidi="ar-SA"/>
    </w:rPr>
  </w:style>
  <w:style w:type="character" w:customStyle="1" w:styleId="307">
    <w:name w:val="textcontents"/>
    <w:link w:val="1"/>
    <w:qFormat/>
    <w:uiPriority w:val="0"/>
    <w:rPr>
      <w:rFonts w:cs="Times New Roman"/>
    </w:rPr>
  </w:style>
  <w:style w:type="character" w:customStyle="1" w:styleId="308">
    <w:name w:val="font51"/>
    <w:link w:val="1"/>
    <w:qFormat/>
    <w:uiPriority w:val="0"/>
    <w:rPr>
      <w:rFonts w:ascii="Times New Roman" w:hAnsi="Times New Roman" w:cs="Times New Roman"/>
      <w:color w:val="000000"/>
      <w:sz w:val="24"/>
      <w:szCs w:val="24"/>
      <w:u w:val="none"/>
    </w:rPr>
  </w:style>
  <w:style w:type="character" w:customStyle="1" w:styleId="309">
    <w:name w:val="正文文本 + Gungsuh32"/>
    <w:link w:val="1"/>
    <w:qFormat/>
    <w:uiPriority w:val="0"/>
    <w:rPr>
      <w:rFonts w:ascii="Gungsuh" w:eastAsia="Gungsuh" w:cs="Gungsuh"/>
      <w:b/>
      <w:color w:val="0000FD"/>
      <w:sz w:val="16"/>
      <w:szCs w:val="16"/>
      <w:u w:val="none"/>
      <w:lang w:val="en-US" w:eastAsia="en-US" w:bidi="ar-SA"/>
    </w:rPr>
  </w:style>
  <w:style w:type="character" w:customStyle="1" w:styleId="310">
    <w:name w:val=" Char Char"/>
    <w:link w:val="1"/>
    <w:qFormat/>
    <w:uiPriority w:val="0"/>
    <w:rPr>
      <w:rFonts w:eastAsia="宋体"/>
      <w:b/>
      <w:bCs/>
      <w:sz w:val="21"/>
      <w:szCs w:val="24"/>
      <w:lang w:val="en-US" w:eastAsia="zh-CN" w:bidi="ar-SA"/>
    </w:rPr>
  </w:style>
  <w:style w:type="character" w:customStyle="1" w:styleId="311">
    <w:name w:val="样式 标题 3 + (中文) 黑体 小四 非加粗 段前: 7.8 磅 段后: 0 磅 行距: 固定值 20 磅 Char"/>
    <w:link w:val="1"/>
    <w:qFormat/>
    <w:uiPriority w:val="0"/>
    <w:rPr>
      <w:rFonts w:ascii="黑体" w:hAnsi="宋体" w:eastAsia="黑体" w:cs="宋体"/>
      <w:b/>
      <w:bCs/>
      <w:sz w:val="24"/>
      <w:lang w:val="en-US" w:eastAsia="zh-CN" w:bidi="ar-SA"/>
    </w:rPr>
  </w:style>
  <w:style w:type="character" w:customStyle="1" w:styleId="312">
    <w:name w:val="明显引用 字符3"/>
    <w:link w:val="313"/>
    <w:qFormat/>
    <w:uiPriority w:val="30"/>
    <w:rPr>
      <w:b/>
      <w:bCs/>
      <w:i/>
      <w:iCs/>
      <w:color w:val="4F81BD"/>
      <w:sz w:val="21"/>
      <w:szCs w:val="22"/>
    </w:rPr>
  </w:style>
  <w:style w:type="paragraph" w:customStyle="1" w:styleId="313">
    <w:name w:val="明显引用"/>
    <w:basedOn w:val="1"/>
    <w:next w:val="1"/>
    <w:link w:val="312"/>
    <w:qFormat/>
    <w:uiPriority w:val="0"/>
    <w:pPr>
      <w:pBdr>
        <w:bottom w:val="single" w:color="4F81BD" w:sz="4" w:space="4"/>
      </w:pBdr>
      <w:spacing w:before="200" w:after="280"/>
      <w:ind w:left="936" w:right="936"/>
    </w:pPr>
    <w:rPr>
      <w:b/>
      <w:bCs/>
      <w:i/>
      <w:iCs/>
      <w:color w:val="4F81BD"/>
      <w:szCs w:val="22"/>
    </w:rPr>
  </w:style>
  <w:style w:type="character" w:customStyle="1" w:styleId="314">
    <w:name w:val="Keyboard"/>
    <w:link w:val="1"/>
    <w:qFormat/>
    <w:uiPriority w:val="0"/>
    <w:rPr>
      <w:rFonts w:ascii="Courier New" w:hAnsi="Courier New"/>
      <w:b/>
      <w:sz w:val="20"/>
    </w:rPr>
  </w:style>
  <w:style w:type="character" w:customStyle="1" w:styleId="315">
    <w:name w:val="正文文本 + Gungsuh"/>
    <w:link w:val="1"/>
    <w:qFormat/>
    <w:uiPriority w:val="0"/>
    <w:rPr>
      <w:rFonts w:ascii="Gungsuh" w:eastAsia="Gungsuh" w:cs="Gungsuh"/>
      <w:b/>
      <w:sz w:val="16"/>
      <w:szCs w:val="16"/>
      <w:lang w:val="en-US" w:eastAsia="en-US" w:bidi="ar-SA"/>
    </w:rPr>
  </w:style>
  <w:style w:type="character" w:customStyle="1" w:styleId="316">
    <w:name w:val="正文文本 (5) Exact"/>
    <w:link w:val="317"/>
    <w:qFormat/>
    <w:uiPriority w:val="0"/>
    <w:rPr>
      <w:rFonts w:ascii="仿宋" w:eastAsia="仿宋"/>
      <w:sz w:val="19"/>
      <w:szCs w:val="19"/>
      <w:shd w:val="clear" w:color="auto" w:fill="FFFFFF"/>
      <w:lang w:eastAsia="en-US"/>
    </w:rPr>
  </w:style>
  <w:style w:type="paragraph" w:customStyle="1" w:styleId="317">
    <w:name w:val="正文文本 (5)"/>
    <w:basedOn w:val="1"/>
    <w:link w:val="316"/>
    <w:qFormat/>
    <w:uiPriority w:val="0"/>
    <w:pPr>
      <w:shd w:val="clear" w:color="auto" w:fill="FFFFFF"/>
      <w:spacing w:line="240" w:lineRule="atLeast"/>
      <w:jc w:val="left"/>
    </w:pPr>
    <w:rPr>
      <w:rFonts w:ascii="仿宋" w:eastAsia="仿宋"/>
      <w:sz w:val="19"/>
      <w:szCs w:val="19"/>
      <w:lang w:eastAsia="en-US"/>
    </w:rPr>
  </w:style>
  <w:style w:type="character" w:customStyle="1" w:styleId="318">
    <w:name w:val="Sample"/>
    <w:link w:val="1"/>
    <w:qFormat/>
    <w:uiPriority w:val="0"/>
    <w:rPr>
      <w:rFonts w:ascii="Courier New" w:hAnsi="Courier New"/>
    </w:rPr>
  </w:style>
  <w:style w:type="character" w:customStyle="1" w:styleId="319">
    <w:name w:val="font61"/>
    <w:link w:val="1"/>
    <w:qFormat/>
    <w:uiPriority w:val="0"/>
    <w:rPr>
      <w:rFonts w:hint="eastAsia" w:ascii="宋体" w:hAnsi="宋体" w:eastAsia="宋体" w:cs="宋体"/>
      <w:color w:val="000000"/>
      <w:sz w:val="24"/>
      <w:szCs w:val="24"/>
      <w:u w:val="none"/>
    </w:rPr>
  </w:style>
  <w:style w:type="character" w:customStyle="1" w:styleId="320">
    <w:name w:val="页眉 Char1"/>
    <w:link w:val="1"/>
    <w:qFormat/>
    <w:uiPriority w:val="0"/>
    <w:rPr>
      <w:rFonts w:cs="Times New Roman"/>
      <w:sz w:val="18"/>
      <w:szCs w:val="18"/>
      <w:lang w:bidi="ar-SA"/>
    </w:rPr>
  </w:style>
  <w:style w:type="character" w:customStyle="1" w:styleId="321">
    <w:name w:val="附录公式 Char"/>
    <w:link w:val="322"/>
    <w:qFormat/>
    <w:uiPriority w:val="0"/>
  </w:style>
  <w:style w:type="paragraph" w:customStyle="1" w:styleId="322">
    <w:name w:val="附录公式"/>
    <w:basedOn w:val="246"/>
    <w:next w:val="246"/>
    <w:link w:val="321"/>
    <w:qFormat/>
    <w:uiPriority w:val="0"/>
    <w:pPr>
      <w:numPr>
        <w:ilvl w:val="1"/>
        <w:numId w:val="7"/>
      </w:numPr>
      <w:ind w:left="0" w:firstLine="420"/>
    </w:pPr>
    <w:rPr>
      <w:rFonts w:ascii="Times New Roman"/>
      <w:sz w:val="20"/>
    </w:rPr>
  </w:style>
  <w:style w:type="character" w:customStyle="1" w:styleId="323">
    <w:name w:val="不明显强调"/>
    <w:link w:val="1"/>
    <w:qFormat/>
    <w:uiPriority w:val="0"/>
    <w:rPr>
      <w:i/>
      <w:iCs/>
      <w:color w:val="808080"/>
    </w:rPr>
  </w:style>
  <w:style w:type="character" w:customStyle="1" w:styleId="324">
    <w:name w:val="引用 Char1"/>
    <w:link w:val="1"/>
    <w:qFormat/>
    <w:uiPriority w:val="29"/>
    <w:rPr>
      <w:i/>
      <w:iCs/>
      <w:color w:val="000000"/>
      <w:sz w:val="21"/>
    </w:rPr>
  </w:style>
  <w:style w:type="character" w:customStyle="1" w:styleId="325">
    <w:name w:val="Char Char6"/>
    <w:link w:val="1"/>
    <w:qFormat/>
    <w:uiPriority w:val="0"/>
    <w:rPr>
      <w:rFonts w:eastAsia="宋体"/>
      <w:b/>
      <w:bCs/>
      <w:sz w:val="32"/>
      <w:szCs w:val="32"/>
      <w:lang w:val="en-US" w:eastAsia="zh-CN" w:bidi="ar-SA"/>
    </w:rPr>
  </w:style>
  <w:style w:type="character" w:customStyle="1" w:styleId="326">
    <w:name w:val="正文文本 + 间距 0 pt12"/>
    <w:link w:val="1"/>
    <w:qFormat/>
    <w:uiPriority w:val="0"/>
    <w:rPr>
      <w:rFonts w:ascii="MingLiU" w:eastAsia="MingLiU" w:cs="MingLiU"/>
      <w:color w:val="0000CE"/>
      <w:spacing w:val="10"/>
      <w:sz w:val="19"/>
      <w:szCs w:val="19"/>
      <w:u w:val="none"/>
      <w:lang w:val="en-US" w:eastAsia="zh-CN" w:bidi="ar-SA"/>
    </w:rPr>
  </w:style>
  <w:style w:type="character" w:customStyle="1" w:styleId="327">
    <w:name w:val="明显强调"/>
    <w:link w:val="1"/>
    <w:qFormat/>
    <w:uiPriority w:val="0"/>
    <w:rPr>
      <w:b/>
      <w:bCs/>
      <w:i/>
      <w:iCs/>
      <w:color w:val="4F81BD"/>
    </w:rPr>
  </w:style>
  <w:style w:type="character" w:customStyle="1" w:styleId="328">
    <w:name w:val="CODE"/>
    <w:link w:val="1"/>
    <w:qFormat/>
    <w:uiPriority w:val="0"/>
    <w:rPr>
      <w:rFonts w:ascii="Courier New" w:hAnsi="Courier New"/>
      <w:sz w:val="20"/>
    </w:rPr>
  </w:style>
  <w:style w:type="character" w:customStyle="1" w:styleId="329">
    <w:name w:val="引用 字符3"/>
    <w:link w:val="330"/>
    <w:qFormat/>
    <w:uiPriority w:val="29"/>
    <w:rPr>
      <w:i/>
      <w:iCs/>
      <w:color w:val="000000"/>
      <w:sz w:val="21"/>
      <w:szCs w:val="22"/>
    </w:rPr>
  </w:style>
  <w:style w:type="paragraph" w:customStyle="1" w:styleId="330">
    <w:name w:val="引用"/>
    <w:basedOn w:val="1"/>
    <w:next w:val="1"/>
    <w:link w:val="329"/>
    <w:qFormat/>
    <w:uiPriority w:val="0"/>
    <w:rPr>
      <w:i/>
      <w:iCs/>
      <w:color w:val="000000"/>
      <w:szCs w:val="22"/>
    </w:rPr>
  </w:style>
  <w:style w:type="character" w:customStyle="1" w:styleId="331">
    <w:name w:val="Comment"/>
    <w:link w:val="1"/>
    <w:qFormat/>
    <w:uiPriority w:val="0"/>
    <w:rPr>
      <w:vanish/>
    </w:rPr>
  </w:style>
  <w:style w:type="character" w:customStyle="1" w:styleId="332">
    <w:name w:val="正文文本 + 间距 0 pt10"/>
    <w:link w:val="1"/>
    <w:qFormat/>
    <w:uiPriority w:val="0"/>
    <w:rPr>
      <w:rFonts w:ascii="MingLiU" w:eastAsia="MingLiU" w:cs="MingLiU"/>
      <w:color w:val="0000FD"/>
      <w:spacing w:val="10"/>
      <w:sz w:val="19"/>
      <w:szCs w:val="19"/>
      <w:u w:val="single"/>
      <w:lang w:val="en-US" w:eastAsia="zh-CN" w:bidi="ar-SA"/>
    </w:rPr>
  </w:style>
  <w:style w:type="character" w:customStyle="1" w:styleId="333">
    <w:name w:val="HTML Markup"/>
    <w:link w:val="1"/>
    <w:qFormat/>
    <w:uiPriority w:val="0"/>
    <w:rPr>
      <w:vanish/>
      <w:color w:val="FF0000"/>
    </w:rPr>
  </w:style>
  <w:style w:type="character" w:customStyle="1" w:styleId="334">
    <w:name w:val="书籍标题"/>
    <w:link w:val="1"/>
    <w:qFormat/>
    <w:uiPriority w:val="0"/>
    <w:rPr>
      <w:b/>
      <w:bCs/>
      <w:smallCaps/>
      <w:spacing w:val="5"/>
    </w:rPr>
  </w:style>
  <w:style w:type="character" w:customStyle="1" w:styleId="335">
    <w:name w:val="font191"/>
    <w:link w:val="1"/>
    <w:qFormat/>
    <w:uiPriority w:val="0"/>
    <w:rPr>
      <w:rFonts w:ascii="Times New Roman" w:hAnsi="Times New Roman" w:cs="Times New Roman"/>
      <w:color w:val="000000"/>
      <w:sz w:val="20"/>
      <w:szCs w:val="20"/>
      <w:u w:val="none"/>
    </w:rPr>
  </w:style>
  <w:style w:type="character" w:customStyle="1" w:styleId="336">
    <w:name w:val="副标题 Char1"/>
    <w:link w:val="1"/>
    <w:qFormat/>
    <w:uiPriority w:val="0"/>
    <w:rPr>
      <w:rFonts w:ascii="Cambria" w:hAnsi="Cambria" w:cs="Times New Roman"/>
      <w:b/>
      <w:bCs/>
      <w:sz w:val="32"/>
      <w:szCs w:val="32"/>
    </w:rPr>
  </w:style>
  <w:style w:type="character" w:customStyle="1" w:styleId="337">
    <w:name w:val="批注文字 Char Char"/>
    <w:link w:val="1"/>
    <w:qFormat/>
    <w:uiPriority w:val="0"/>
    <w:rPr>
      <w:rFonts w:ascii="宋体" w:hAnsi="Times New Roman" w:eastAsia="宋体" w:cs="Times New Roman"/>
      <w:sz w:val="28"/>
      <w:szCs w:val="20"/>
    </w:rPr>
  </w:style>
  <w:style w:type="character" w:customStyle="1" w:styleId="338">
    <w:name w:val="明显引用 Char1"/>
    <w:link w:val="1"/>
    <w:qFormat/>
    <w:uiPriority w:val="30"/>
    <w:rPr>
      <w:b/>
      <w:bCs/>
      <w:i/>
      <w:iCs/>
      <w:color w:val="4F81BD"/>
      <w:sz w:val="21"/>
    </w:rPr>
  </w:style>
  <w:style w:type="character" w:customStyle="1" w:styleId="339">
    <w:name w:val="正文首行缩进 Char1"/>
    <w:link w:val="1"/>
    <w:semiHidden/>
    <w:qFormat/>
    <w:uiPriority w:val="99"/>
  </w:style>
  <w:style w:type="character" w:customStyle="1" w:styleId="340">
    <w:name w:val="font11"/>
    <w:link w:val="1"/>
    <w:qFormat/>
    <w:uiPriority w:val="0"/>
    <w:rPr>
      <w:rFonts w:hint="eastAsia" w:ascii="宋体" w:hAnsi="宋体" w:eastAsia="宋体" w:cs="宋体"/>
      <w:color w:val="000000"/>
      <w:sz w:val="24"/>
      <w:szCs w:val="24"/>
      <w:u w:val="none"/>
    </w:rPr>
  </w:style>
  <w:style w:type="character" w:customStyle="1" w:styleId="341">
    <w:name w:val=" Char Char6"/>
    <w:link w:val="1"/>
    <w:qFormat/>
    <w:uiPriority w:val="0"/>
    <w:rPr>
      <w:rFonts w:eastAsia="宋体"/>
      <w:b/>
      <w:bCs/>
      <w:sz w:val="32"/>
      <w:szCs w:val="32"/>
      <w:lang w:val="en-US" w:eastAsia="zh-CN" w:bidi="ar-SA"/>
    </w:rPr>
  </w:style>
  <w:style w:type="character" w:customStyle="1" w:styleId="342">
    <w:name w:val="Definition"/>
    <w:link w:val="1"/>
    <w:qFormat/>
    <w:uiPriority w:val="0"/>
    <w:rPr>
      <w:i/>
    </w:rPr>
  </w:style>
  <w:style w:type="character" w:customStyle="1" w:styleId="343">
    <w:name w:val="首示例 Char"/>
    <w:link w:val="344"/>
    <w:qFormat/>
    <w:uiPriority w:val="0"/>
    <w:rPr>
      <w:rFonts w:ascii="宋体" w:hAnsi="宋体"/>
      <w:sz w:val="18"/>
      <w:szCs w:val="18"/>
    </w:rPr>
  </w:style>
  <w:style w:type="paragraph" w:customStyle="1" w:styleId="344">
    <w:name w:val="首示例"/>
    <w:next w:val="246"/>
    <w:link w:val="343"/>
    <w:qFormat/>
    <w:uiPriority w:val="0"/>
    <w:pPr>
      <w:numPr>
        <w:ilvl w:val="0"/>
        <w:numId w:val="8"/>
      </w:numPr>
      <w:tabs>
        <w:tab w:val="left" w:pos="360"/>
      </w:tabs>
      <w:ind w:firstLine="0"/>
    </w:pPr>
    <w:rPr>
      <w:rFonts w:hint="default" w:ascii="宋体" w:hAnsi="宋体" w:eastAsia="宋体" w:cs="Times New Roman"/>
      <w:sz w:val="18"/>
      <w:szCs w:val="18"/>
      <w:lang w:val="en-US" w:eastAsia="zh-CN" w:bidi="ar-SA"/>
    </w:rPr>
  </w:style>
  <w:style w:type="character" w:customStyle="1" w:styleId="345">
    <w:name w:val="页脚 Char1"/>
    <w:link w:val="1"/>
    <w:qFormat/>
    <w:uiPriority w:val="99"/>
    <w:rPr>
      <w:rFonts w:cs="Times New Roman"/>
      <w:sz w:val="18"/>
      <w:szCs w:val="18"/>
      <w:lang w:bidi="ar-SA"/>
    </w:rPr>
  </w:style>
  <w:style w:type="character" w:customStyle="1" w:styleId="346">
    <w:name w:val="font01"/>
    <w:link w:val="1"/>
    <w:qFormat/>
    <w:uiPriority w:val="0"/>
    <w:rPr>
      <w:rFonts w:ascii="Times New Roman" w:hAnsi="Times New Roman" w:cs="Times New Roman"/>
      <w:color w:val="000000"/>
      <w:sz w:val="24"/>
      <w:szCs w:val="24"/>
      <w:u w:val="none"/>
    </w:rPr>
  </w:style>
  <w:style w:type="character" w:customStyle="1" w:styleId="347">
    <w:name w:val="发布"/>
    <w:link w:val="1"/>
    <w:qFormat/>
    <w:uiPriority w:val="0"/>
    <w:rPr>
      <w:rFonts w:ascii="黑体" w:eastAsia="黑体"/>
      <w:spacing w:val="85"/>
      <w:position w:val="3"/>
      <w:sz w:val="28"/>
      <w:szCs w:val="28"/>
    </w:rPr>
  </w:style>
  <w:style w:type="character" w:customStyle="1" w:styleId="348">
    <w:name w:val="Variable"/>
    <w:link w:val="1"/>
    <w:qFormat/>
    <w:uiPriority w:val="0"/>
    <w:rPr>
      <w:i/>
    </w:rPr>
  </w:style>
  <w:style w:type="character" w:customStyle="1" w:styleId="349">
    <w:name w:val="批注框文本 Char1"/>
    <w:link w:val="1"/>
    <w:qFormat/>
    <w:uiPriority w:val="0"/>
    <w:rPr>
      <w:sz w:val="18"/>
      <w:szCs w:val="18"/>
    </w:rPr>
  </w:style>
  <w:style w:type="character" w:customStyle="1" w:styleId="350">
    <w:name w:val=" Char Char2"/>
    <w:link w:val="1"/>
    <w:semiHidden/>
    <w:qFormat/>
    <w:uiPriority w:val="0"/>
    <w:rPr>
      <w:rFonts w:eastAsia="宋体"/>
      <w:sz w:val="21"/>
      <w:szCs w:val="24"/>
      <w:lang w:val="en-US" w:eastAsia="zh-CN" w:bidi="ar-SA"/>
    </w:rPr>
  </w:style>
  <w:style w:type="character" w:customStyle="1" w:styleId="351">
    <w:name w:val="纯文本 Char1"/>
    <w:link w:val="1"/>
    <w:qFormat/>
    <w:uiPriority w:val="0"/>
    <w:rPr>
      <w:rFonts w:ascii="宋体" w:hAnsi="Courier New" w:cs="Courier New"/>
      <w:sz w:val="21"/>
      <w:szCs w:val="21"/>
    </w:rPr>
  </w:style>
  <w:style w:type="character" w:customStyle="1" w:styleId="352">
    <w:name w:val=" Char Char4"/>
    <w:link w:val="1"/>
    <w:qFormat/>
    <w:uiPriority w:val="0"/>
    <w:rPr>
      <w:rFonts w:ascii="宋体" w:hAnsi="宋体" w:eastAsia="黑体" w:cs="Arial"/>
      <w:b/>
      <w:sz w:val="28"/>
      <w:szCs w:val="32"/>
      <w:lang w:val="en-US" w:eastAsia="zh-CN" w:bidi="ar-SA"/>
    </w:rPr>
  </w:style>
  <w:style w:type="paragraph" w:customStyle="1" w:styleId="353">
    <w:name w:val="默认段落字体 Para Char Char Char Char Char Char Char"/>
    <w:basedOn w:val="1"/>
    <w:qFormat/>
    <w:uiPriority w:val="0"/>
    <w:rPr>
      <w:rFonts w:ascii="Tahoma" w:hAnsi="Tahoma"/>
      <w:sz w:val="24"/>
    </w:rPr>
  </w:style>
  <w:style w:type="paragraph" w:customStyle="1" w:styleId="354">
    <w:name w:val="H1"/>
    <w:basedOn w:val="1"/>
    <w:next w:val="1"/>
    <w:qFormat/>
    <w:uiPriority w:val="0"/>
    <w:pPr>
      <w:keepNext/>
      <w:spacing w:before="100" w:after="100"/>
      <w:jc w:val="left"/>
      <w:outlineLvl w:val="1"/>
    </w:pPr>
    <w:rPr>
      <w:b/>
      <w:sz w:val="48"/>
    </w:rPr>
  </w:style>
  <w:style w:type="paragraph" w:customStyle="1" w:styleId="355">
    <w:name w:val="xl10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356">
    <w:name w:val="列出段落2"/>
    <w:basedOn w:val="1"/>
    <w:qFormat/>
    <w:uiPriority w:val="34"/>
    <w:pPr>
      <w:ind w:firstLine="420"/>
    </w:pPr>
    <w:rPr>
      <w:rFonts w:ascii="Calibri" w:hAnsi="Calibri" w:cs="Calibri"/>
      <w:szCs w:val="21"/>
    </w:rPr>
  </w:style>
  <w:style w:type="paragraph" w:customStyle="1" w:styleId="357">
    <w:name w:val="flNote"/>
    <w:basedOn w:val="1"/>
    <w:qFormat/>
    <w:uiPriority w:val="0"/>
    <w:pPr>
      <w:spacing w:before="320" w:after="160" w:line="360" w:lineRule="atLeast"/>
      <w:jc w:val="center"/>
    </w:pPr>
    <w:rPr>
      <w:rFonts w:ascii="Arial" w:eastAsia="黑体"/>
      <w:sz w:val="30"/>
    </w:rPr>
  </w:style>
  <w:style w:type="paragraph" w:customStyle="1" w:styleId="358">
    <w:name w:val="默认段落字体 Para Char Char Char"/>
    <w:basedOn w:val="1"/>
    <w:qFormat/>
    <w:uiPriority w:val="0"/>
    <w:rPr>
      <w:szCs w:val="24"/>
    </w:rPr>
  </w:style>
  <w:style w:type="paragraph" w:customStyle="1" w:styleId="359">
    <w:name w:val="xl10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360">
    <w:name w:val="附录数字编号列项（二级）"/>
    <w:qFormat/>
    <w:uiPriority w:val="0"/>
    <w:pPr>
      <w:numPr>
        <w:ilvl w:val="6"/>
        <w:numId w:val="9"/>
      </w:numPr>
      <w:tabs>
        <w:tab w:val="left" w:pos="840"/>
      </w:tabs>
      <w:ind w:left="839" w:hanging="419"/>
    </w:pPr>
    <w:rPr>
      <w:rFonts w:hint="default" w:ascii="宋体" w:hAnsi="Times New Roman" w:eastAsia="宋体" w:cs="Times New Roman"/>
      <w:sz w:val="21"/>
      <w:lang w:val="en-US" w:eastAsia="zh-CN" w:bidi="ar-SA"/>
    </w:rPr>
  </w:style>
  <w:style w:type="paragraph" w:customStyle="1" w:styleId="361">
    <w:name w:val="Address"/>
    <w:basedOn w:val="1"/>
    <w:next w:val="1"/>
    <w:qFormat/>
    <w:uiPriority w:val="0"/>
    <w:pPr>
      <w:jc w:val="left"/>
    </w:pPr>
    <w:rPr>
      <w:i/>
      <w:sz w:val="24"/>
    </w:rPr>
  </w:style>
  <w:style w:type="paragraph" w:customStyle="1" w:styleId="362">
    <w:name w:val="xl1048"/>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363">
    <w:name w:val="五级无"/>
    <w:basedOn w:val="364"/>
    <w:qFormat/>
    <w:uiPriority w:val="0"/>
    <w:pPr>
      <w:spacing w:before="0" w:after="0"/>
    </w:pPr>
    <w:rPr>
      <w:rFonts w:ascii="宋体" w:eastAsia="宋体"/>
    </w:rPr>
  </w:style>
  <w:style w:type="paragraph" w:customStyle="1" w:styleId="364">
    <w:name w:val="五级条标题"/>
    <w:basedOn w:val="365"/>
    <w:next w:val="246"/>
    <w:qFormat/>
    <w:uiPriority w:val="0"/>
    <w:pPr>
      <w:numPr>
        <w:ilvl w:val="5"/>
        <w:numId w:val="10"/>
      </w:numPr>
      <w:outlineLvl w:val="6"/>
    </w:pPr>
  </w:style>
  <w:style w:type="paragraph" w:customStyle="1" w:styleId="365">
    <w:name w:val="四级条标题"/>
    <w:basedOn w:val="366"/>
    <w:next w:val="246"/>
    <w:qFormat/>
    <w:uiPriority w:val="0"/>
    <w:pPr>
      <w:numPr>
        <w:ilvl w:val="0"/>
        <w:numId w:val="11"/>
      </w:numPr>
      <w:ind w:left="0" w:firstLine="0"/>
      <w:outlineLvl w:val="5"/>
    </w:pPr>
  </w:style>
  <w:style w:type="paragraph" w:customStyle="1" w:styleId="366">
    <w:name w:val="三级条标题"/>
    <w:basedOn w:val="367"/>
    <w:next w:val="246"/>
    <w:qFormat/>
    <w:uiPriority w:val="0"/>
    <w:pPr>
      <w:numPr>
        <w:ilvl w:val="1"/>
        <w:numId w:val="12"/>
      </w:numPr>
      <w:tabs>
        <w:tab w:val="clear" w:pos="1259"/>
      </w:tabs>
      <w:ind w:left="0" w:firstLine="0"/>
      <w:outlineLvl w:val="4"/>
    </w:pPr>
  </w:style>
  <w:style w:type="paragraph" w:customStyle="1" w:styleId="367">
    <w:name w:val="二级条标题"/>
    <w:basedOn w:val="368"/>
    <w:next w:val="246"/>
    <w:qFormat/>
    <w:uiPriority w:val="0"/>
    <w:pPr>
      <w:numPr>
        <w:ilvl w:val="2"/>
        <w:numId w:val="10"/>
      </w:numPr>
      <w:spacing w:before="50" w:after="50"/>
      <w:outlineLvl w:val="3"/>
    </w:pPr>
  </w:style>
  <w:style w:type="paragraph" w:customStyle="1" w:styleId="368">
    <w:name w:val="一级条标题"/>
    <w:next w:val="246"/>
    <w:qFormat/>
    <w:uiPriority w:val="0"/>
    <w:pPr>
      <w:numPr>
        <w:ilvl w:val="0"/>
        <w:numId w:val="10"/>
      </w:numPr>
      <w:spacing w:before="156" w:after="156"/>
      <w:outlineLvl w:val="2"/>
    </w:pPr>
    <w:rPr>
      <w:rFonts w:hint="default" w:ascii="黑体" w:hAnsi="Times New Roman" w:eastAsia="黑体" w:cs="Times New Roman"/>
      <w:sz w:val="21"/>
      <w:szCs w:val="21"/>
      <w:lang w:val="en-US" w:eastAsia="zh-CN" w:bidi="ar-SA"/>
    </w:rPr>
  </w:style>
  <w:style w:type="paragraph" w:customStyle="1" w:styleId="369">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370">
    <w:name w:val="示例内容"/>
    <w:qFormat/>
    <w:uiPriority w:val="0"/>
    <w:pPr>
      <w:numPr>
        <w:ilvl w:val="5"/>
        <w:numId w:val="10"/>
      </w:numPr>
      <w:ind w:firstLine="200"/>
    </w:pPr>
    <w:rPr>
      <w:rFonts w:hint="default" w:ascii="宋体" w:hAnsi="Times New Roman" w:eastAsia="宋体" w:cs="Times New Roman"/>
      <w:sz w:val="18"/>
      <w:szCs w:val="18"/>
      <w:lang w:val="en-US" w:eastAsia="zh-CN" w:bidi="ar-SA"/>
    </w:rPr>
  </w:style>
  <w:style w:type="paragraph" w:customStyle="1" w:styleId="371">
    <w:name w:val="xl10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rPr>
  </w:style>
  <w:style w:type="paragraph" w:customStyle="1" w:styleId="372">
    <w:name w:val="标准书脚_奇数页"/>
    <w:qFormat/>
    <w:uiPriority w:val="0"/>
    <w:pPr>
      <w:spacing w:before="120"/>
      <w:ind w:right="198"/>
      <w:jc w:val="right"/>
    </w:pPr>
    <w:rPr>
      <w:rFonts w:hint="default" w:ascii="宋体" w:hAnsi="Times New Roman" w:eastAsia="宋体" w:cs="Times New Roman"/>
      <w:sz w:val="18"/>
      <w:szCs w:val="18"/>
      <w:lang w:val="en-US" w:eastAsia="zh-CN" w:bidi="ar-SA"/>
    </w:rPr>
  </w:style>
  <w:style w:type="paragraph" w:customStyle="1" w:styleId="373">
    <w:name w:val="样式 (西文) 仿宋_GB2312 居中 行距: 1.5 倍行距"/>
    <w:basedOn w:val="1"/>
    <w:qFormat/>
    <w:uiPriority w:val="0"/>
    <w:pPr>
      <w:spacing w:line="360" w:lineRule="auto"/>
      <w:jc w:val="center"/>
    </w:pPr>
    <w:rPr>
      <w:rFonts w:ascii="宋体" w:hAnsi="宋体" w:cs="宋体"/>
    </w:rPr>
  </w:style>
  <w:style w:type="paragraph" w:customStyle="1" w:styleId="374">
    <w:name w:val="1"/>
    <w:basedOn w:val="1"/>
    <w:qFormat/>
    <w:uiPriority w:val="0"/>
    <w:pPr>
      <w:spacing w:line="360" w:lineRule="auto"/>
      <w:ind w:firstLine="200"/>
    </w:pPr>
    <w:rPr>
      <w:rFonts w:ascii="宋体" w:hAnsi="宋体" w:cs="宋体"/>
      <w:sz w:val="24"/>
      <w:szCs w:val="24"/>
    </w:rPr>
  </w:style>
  <w:style w:type="paragraph" w:customStyle="1" w:styleId="375">
    <w:name w:val="xl1051"/>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ascii="宋体" w:hAnsi="宋体" w:cs="宋体"/>
      <w:color w:val="000000"/>
      <w:sz w:val="20"/>
    </w:rPr>
  </w:style>
  <w:style w:type="paragraph" w:customStyle="1" w:styleId="376">
    <w:name w:val="xl1011"/>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rPr>
  </w:style>
  <w:style w:type="paragraph" w:customStyle="1" w:styleId="377">
    <w:name w:val="列表段落"/>
    <w:basedOn w:val="1"/>
    <w:link w:val="378"/>
    <w:qFormat/>
    <w:uiPriority w:val="34"/>
    <w:pPr>
      <w:ind w:firstLine="420"/>
    </w:pPr>
    <w:rPr>
      <w:rFonts w:ascii="Calibri" w:hAnsi="Calibri"/>
      <w:szCs w:val="22"/>
    </w:rPr>
  </w:style>
  <w:style w:type="character" w:customStyle="1" w:styleId="378">
    <w:name w:val="列表段落 字符"/>
    <w:link w:val="377"/>
    <w:qFormat/>
    <w:uiPriority w:val="34"/>
    <w:rPr>
      <w:rFonts w:ascii="Calibri" w:hAnsi="Calibri"/>
      <w:sz w:val="21"/>
      <w:szCs w:val="22"/>
    </w:rPr>
  </w:style>
  <w:style w:type="paragraph" w:customStyle="1" w:styleId="379">
    <w:name w:val="xl1010"/>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sz w:val="20"/>
    </w:rPr>
  </w:style>
  <w:style w:type="paragraph" w:customStyle="1" w:styleId="380">
    <w:name w:val="注×：（正文）"/>
    <w:qFormat/>
    <w:uiPriority w:val="0"/>
    <w:pPr>
      <w:numPr>
        <w:ilvl w:val="0"/>
        <w:numId w:val="13"/>
      </w:numPr>
      <w:jc w:val="both"/>
    </w:pPr>
    <w:rPr>
      <w:rFonts w:hint="default" w:ascii="宋体" w:hAnsi="Times New Roman" w:eastAsia="宋体" w:cs="Times New Roman"/>
      <w:sz w:val="18"/>
      <w:szCs w:val="18"/>
      <w:lang w:val="en-US" w:eastAsia="zh-CN" w:bidi="ar-SA"/>
    </w:rPr>
  </w:style>
  <w:style w:type="paragraph" w:customStyle="1" w:styleId="381">
    <w:name w:val="xl10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382">
    <w:name w:val="附录四级条标题"/>
    <w:basedOn w:val="383"/>
    <w:next w:val="246"/>
    <w:qFormat/>
    <w:uiPriority w:val="0"/>
    <w:pPr>
      <w:numPr>
        <w:ilvl w:val="5"/>
        <w:numId w:val="9"/>
      </w:numPr>
      <w:outlineLvl w:val="5"/>
    </w:pPr>
  </w:style>
  <w:style w:type="paragraph" w:customStyle="1" w:styleId="383">
    <w:name w:val="附录三级条标题"/>
    <w:basedOn w:val="384"/>
    <w:next w:val="246"/>
    <w:qFormat/>
    <w:uiPriority w:val="0"/>
    <w:pPr>
      <w:numPr>
        <w:ilvl w:val="0"/>
        <w:numId w:val="14"/>
      </w:numPr>
      <w:ind w:left="0" w:firstLine="0"/>
      <w:outlineLvl w:val="4"/>
    </w:pPr>
  </w:style>
  <w:style w:type="paragraph" w:customStyle="1" w:styleId="384">
    <w:name w:val="附录二级条标题"/>
    <w:basedOn w:val="1"/>
    <w:next w:val="246"/>
    <w:qFormat/>
    <w:uiPriority w:val="0"/>
    <w:pPr>
      <w:widowControl/>
      <w:numPr>
        <w:ilvl w:val="4"/>
        <w:numId w:val="9"/>
      </w:numPr>
      <w:spacing w:before="50" w:after="50"/>
      <w:outlineLvl w:val="3"/>
    </w:pPr>
    <w:rPr>
      <w:rFonts w:ascii="黑体" w:eastAsia="黑体"/>
    </w:rPr>
  </w:style>
  <w:style w:type="paragraph" w:customStyle="1" w:styleId="385">
    <w:name w:val="封面标准名称"/>
    <w:qFormat/>
    <w:uiPriority w:val="0"/>
    <w:pPr>
      <w:framePr w:w="9639" w:h="6917" w:hRule="exact" w:wrap="around" w:vAnchor="page" w:hAnchor="page" w:xAlign="center" w:y="6408"/>
      <w:widowControl w:val="0"/>
      <w:spacing w:line="680" w:lineRule="exact"/>
      <w:jc w:val="center"/>
    </w:pPr>
    <w:rPr>
      <w:rFonts w:hint="default" w:ascii="黑体" w:hAnsi="Times New Roman" w:eastAsia="黑体" w:cs="Times New Roman"/>
      <w:sz w:val="52"/>
      <w:lang w:val="en-US" w:eastAsia="zh-CN" w:bidi="ar-SA"/>
    </w:rPr>
  </w:style>
  <w:style w:type="paragraph" w:customStyle="1" w:styleId="386">
    <w:name w:val="xl10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87">
    <w:name w:val="封面标准文稿编辑信息2"/>
    <w:basedOn w:val="388"/>
    <w:qFormat/>
    <w:uiPriority w:val="0"/>
    <w:pPr>
      <w:framePr w:y="4469"/>
    </w:pPr>
  </w:style>
  <w:style w:type="paragraph" w:customStyle="1" w:styleId="388">
    <w:name w:val="封面标准文稿编辑信息"/>
    <w:basedOn w:val="389"/>
    <w:qFormat/>
    <w:uiPriority w:val="0"/>
    <w:pPr>
      <w:numPr>
        <w:ilvl w:val="1"/>
        <w:numId w:val="15"/>
      </w:numPr>
      <w:spacing w:before="180" w:line="180" w:lineRule="exact"/>
      <w:ind w:left="0" w:firstLine="0"/>
    </w:pPr>
    <w:rPr>
      <w:sz w:val="21"/>
    </w:rPr>
  </w:style>
  <w:style w:type="paragraph" w:customStyle="1" w:styleId="389">
    <w:name w:val="封面标准文稿类别"/>
    <w:basedOn w:val="390"/>
    <w:qFormat/>
    <w:uiPriority w:val="0"/>
    <w:pPr>
      <w:numPr>
        <w:ilvl w:val="0"/>
        <w:numId w:val="15"/>
      </w:numPr>
      <w:tabs>
        <w:tab w:val="clear" w:pos="0"/>
      </w:tabs>
      <w:spacing w:after="160" w:line="240" w:lineRule="auto"/>
      <w:ind w:firstLine="0"/>
    </w:pPr>
    <w:rPr>
      <w:sz w:val="24"/>
    </w:rPr>
  </w:style>
  <w:style w:type="paragraph" w:customStyle="1" w:styleId="390">
    <w:name w:val="封面一致性程度标识"/>
    <w:basedOn w:val="391"/>
    <w:qFormat/>
    <w:uiPriority w:val="0"/>
    <w:pPr>
      <w:spacing w:before="440"/>
    </w:pPr>
    <w:rPr>
      <w:rFonts w:ascii="宋体" w:eastAsia="宋体"/>
    </w:rPr>
  </w:style>
  <w:style w:type="paragraph" w:customStyle="1" w:styleId="391">
    <w:name w:val="封面标准英文名称"/>
    <w:basedOn w:val="385"/>
    <w:qFormat/>
    <w:uiPriority w:val="0"/>
    <w:pPr>
      <w:numPr>
        <w:ilvl w:val="0"/>
        <w:numId w:val="9"/>
      </w:numPr>
      <w:spacing w:before="370" w:line="400" w:lineRule="exact"/>
    </w:pPr>
    <w:rPr>
      <w:rFonts w:ascii="Times New Roman"/>
      <w:sz w:val="28"/>
      <w:szCs w:val="28"/>
    </w:rPr>
  </w:style>
  <w:style w:type="paragraph" w:customStyle="1" w:styleId="392">
    <w:name w:val="xl100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20"/>
    </w:rPr>
  </w:style>
  <w:style w:type="paragraph" w:customStyle="1" w:styleId="393">
    <w:name w:val="xl10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9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395">
    <w:name w:val="xl1003"/>
    <w:basedOn w:val="1"/>
    <w:qFormat/>
    <w:uiPriority w:val="0"/>
    <w:pPr>
      <w:widowControl/>
      <w:spacing w:before="100" w:beforeAutospacing="1" w:after="100" w:afterAutospacing="1"/>
      <w:jc w:val="center"/>
    </w:pPr>
    <w:rPr>
      <w:rFonts w:ascii="宋体" w:hAnsi="宋体" w:cs="宋体"/>
      <w:sz w:val="20"/>
    </w:rPr>
  </w:style>
  <w:style w:type="paragraph" w:customStyle="1" w:styleId="396">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397">
    <w:name w:val="xl105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0"/>
    </w:rPr>
  </w:style>
  <w:style w:type="paragraph" w:customStyle="1" w:styleId="398">
    <w:name w:val="附录四级无"/>
    <w:basedOn w:val="382"/>
    <w:qFormat/>
    <w:uiPriority w:val="0"/>
    <w:pPr>
      <w:spacing w:before="0" w:after="0"/>
    </w:pPr>
    <w:rPr>
      <w:rFonts w:ascii="宋体" w:eastAsia="宋体"/>
      <w:szCs w:val="21"/>
    </w:rPr>
  </w:style>
  <w:style w:type="paragraph" w:customStyle="1" w:styleId="399">
    <w:name w:val="xl1071"/>
    <w:basedOn w:val="1"/>
    <w:qFormat/>
    <w:uiPriority w:val="0"/>
    <w:pPr>
      <w:widowControl/>
      <w:spacing w:before="100" w:beforeAutospacing="1" w:after="100" w:afterAutospacing="1"/>
      <w:jc w:val="left"/>
    </w:pPr>
    <w:rPr>
      <w:rFonts w:ascii="宋体" w:hAnsi="宋体" w:cs="宋体"/>
      <w:b/>
      <w:bCs/>
      <w:sz w:val="20"/>
    </w:rPr>
  </w:style>
  <w:style w:type="paragraph" w:customStyle="1" w:styleId="400">
    <w:name w:val="xl10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01">
    <w:name w:val="发布部门"/>
    <w:next w:val="246"/>
    <w:qFormat/>
    <w:uiPriority w:val="0"/>
    <w:pPr>
      <w:framePr w:w="7938" w:h="1134" w:hRule="exact" w:hSpace="125" w:vSpace="181" w:wrap="around" w:vAnchor="page" w:hAnchor="page" w:x="2150" w:y="14630"/>
      <w:jc w:val="center"/>
    </w:pPr>
    <w:rPr>
      <w:rFonts w:hint="default" w:ascii="宋体" w:hAnsi="Times New Roman" w:eastAsia="宋体" w:cs="Times New Roman"/>
      <w:b/>
      <w:spacing w:val="20"/>
      <w:sz w:val="28"/>
      <w:lang w:val="en-US" w:eastAsia="zh-CN" w:bidi="ar-SA"/>
    </w:rPr>
  </w:style>
  <w:style w:type="paragraph" w:customStyle="1" w:styleId="402">
    <w:name w:val="封面标准英文名称2"/>
    <w:basedOn w:val="391"/>
    <w:qFormat/>
    <w:uiPriority w:val="0"/>
    <w:pPr>
      <w:framePr w:y="4469"/>
    </w:pPr>
  </w:style>
  <w:style w:type="paragraph" w:customStyle="1" w:styleId="403">
    <w:name w:val="xl10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404">
    <w:name w:val="font8"/>
    <w:basedOn w:val="1"/>
    <w:qFormat/>
    <w:uiPriority w:val="0"/>
    <w:pPr>
      <w:widowControl/>
      <w:spacing w:before="100" w:beforeAutospacing="1" w:after="100" w:afterAutospacing="1"/>
      <w:jc w:val="left"/>
    </w:pPr>
    <w:rPr>
      <w:rFonts w:ascii="宋体" w:hAnsi="宋体" w:cs="宋体"/>
      <w:b/>
      <w:bCs/>
      <w:color w:val="000000"/>
      <w:sz w:val="20"/>
    </w:rPr>
  </w:style>
  <w:style w:type="paragraph" w:customStyle="1" w:styleId="405">
    <w:name w:val="xl10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styleId="406">
    <w:name w:val="List Paragraph"/>
    <w:basedOn w:val="1"/>
    <w:qFormat/>
    <w:uiPriority w:val="34"/>
    <w:pPr>
      <w:ind w:firstLine="420"/>
    </w:pPr>
    <w:rPr>
      <w:rFonts w:ascii="Calibri" w:hAnsi="Calibri" w:cs="Calibri"/>
      <w:szCs w:val="21"/>
    </w:rPr>
  </w:style>
  <w:style w:type="paragraph" w:customStyle="1" w:styleId="407">
    <w:name w:val="xl10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408">
    <w:name w:val="其他标准称谓"/>
    <w:next w:val="1"/>
    <w:qFormat/>
    <w:uiPriority w:val="0"/>
    <w:pPr>
      <w:framePr w:hSpace="181" w:vSpace="181" w:wrap="around" w:vAnchor="page" w:hAnchor="page" w:x="1419" w:y="2286"/>
      <w:spacing w:line="0" w:lineRule="atLeast"/>
      <w:jc w:val="both"/>
    </w:pPr>
    <w:rPr>
      <w:rFonts w:hint="default" w:ascii="黑体" w:hAnsi="宋体" w:eastAsia="黑体" w:cs="Times New Roman"/>
      <w:spacing w:val="-40"/>
      <w:sz w:val="48"/>
      <w:szCs w:val="52"/>
      <w:lang w:val="en-US" w:eastAsia="zh-CN" w:bidi="ar-SA"/>
    </w:rPr>
  </w:style>
  <w:style w:type="paragraph" w:customStyle="1" w:styleId="409">
    <w:name w:val="xl10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410">
    <w:name w:val="xl10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楷体" w:hAnsi="楷体" w:eastAsia="楷体" w:cs="宋体"/>
      <w:sz w:val="20"/>
    </w:rPr>
  </w:style>
  <w:style w:type="paragraph" w:customStyle="1" w:styleId="411">
    <w:name w:val="正文图标题"/>
    <w:next w:val="246"/>
    <w:qFormat/>
    <w:uiPriority w:val="0"/>
    <w:pPr>
      <w:numPr>
        <w:ilvl w:val="0"/>
        <w:numId w:val="16"/>
      </w:numPr>
      <w:tabs>
        <w:tab w:val="left" w:pos="360"/>
      </w:tabs>
      <w:spacing w:before="156" w:after="156"/>
      <w:jc w:val="center"/>
    </w:pPr>
    <w:rPr>
      <w:rFonts w:hint="default" w:ascii="黑体" w:hAnsi="Times New Roman" w:eastAsia="黑体" w:cs="Times New Roman"/>
      <w:sz w:val="21"/>
      <w:lang w:val="en-US" w:eastAsia="zh-CN" w:bidi="ar-SA"/>
    </w:rPr>
  </w:style>
  <w:style w:type="paragraph" w:customStyle="1" w:styleId="412">
    <w:name w:val="xl10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13">
    <w:name w:val="空半行"/>
    <w:basedOn w:val="1"/>
    <w:qFormat/>
    <w:uiPriority w:val="0"/>
    <w:pPr>
      <w:spacing w:line="120" w:lineRule="exact"/>
    </w:pPr>
    <w:rPr>
      <w:rFonts w:eastAsia="仿宋_GB2312"/>
      <w:color w:val="FFFFFF"/>
      <w:sz w:val="30"/>
    </w:rPr>
  </w:style>
  <w:style w:type="paragraph" w:customStyle="1" w:styleId="414">
    <w:name w:val="附录公式编号制表符"/>
    <w:basedOn w:val="1"/>
    <w:next w:val="246"/>
    <w:qFormat/>
    <w:uiPriority w:val="0"/>
    <w:pPr>
      <w:widowControl/>
      <w:tabs>
        <w:tab w:val="center" w:pos="4201"/>
        <w:tab w:val="right" w:leader="dot" w:pos="9298"/>
      </w:tabs>
    </w:pPr>
    <w:rPr>
      <w:rFonts w:ascii="宋体"/>
    </w:rPr>
  </w:style>
  <w:style w:type="paragraph" w:customStyle="1" w:styleId="415">
    <w:name w:val="附录一级条标题"/>
    <w:basedOn w:val="416"/>
    <w:next w:val="246"/>
    <w:qFormat/>
    <w:uiPriority w:val="0"/>
    <w:pPr>
      <w:numPr>
        <w:ilvl w:val="2"/>
        <w:numId w:val="9"/>
      </w:numPr>
      <w:spacing w:before="50" w:after="50"/>
      <w:outlineLvl w:val="2"/>
    </w:pPr>
  </w:style>
  <w:style w:type="paragraph" w:customStyle="1" w:styleId="416">
    <w:name w:val="附录章标题"/>
    <w:next w:val="246"/>
    <w:qFormat/>
    <w:uiPriority w:val="0"/>
    <w:pPr>
      <w:numPr>
        <w:ilvl w:val="1"/>
        <w:numId w:val="9"/>
      </w:numPr>
      <w:spacing w:before="100" w:after="100"/>
      <w:jc w:val="both"/>
      <w:outlineLvl w:val="1"/>
    </w:pPr>
    <w:rPr>
      <w:rFonts w:hint="default" w:ascii="黑体" w:hAnsi="Times New Roman" w:eastAsia="黑体" w:cs="Times New Roman"/>
      <w:sz w:val="21"/>
      <w:lang w:val="en-US" w:eastAsia="zh-CN" w:bidi="ar-SA"/>
    </w:rPr>
  </w:style>
  <w:style w:type="paragraph" w:customStyle="1" w:styleId="417">
    <w:name w:val="封面标准文稿类别2"/>
    <w:basedOn w:val="389"/>
    <w:qFormat/>
    <w:uiPriority w:val="0"/>
    <w:pPr>
      <w:framePr w:y="4469"/>
    </w:pPr>
  </w:style>
  <w:style w:type="paragraph" w:customStyle="1" w:styleId="418">
    <w:name w:val="标准称谓"/>
    <w:next w:val="1"/>
    <w:qFormat/>
    <w:uiPriority w:val="0"/>
    <w:pPr>
      <w:framePr w:w="9639" w:h="624" w:hRule="exact" w:hSpace="181" w:vSpace="181" w:wrap="around" w:vAnchor="page" w:hAnchor="page" w:x="1419" w:y="2286"/>
      <w:widowControl w:val="0"/>
      <w:spacing w:line="0" w:lineRule="atLeast"/>
      <w:jc w:val="both"/>
    </w:pPr>
    <w:rPr>
      <w:rFonts w:hint="default" w:ascii="宋体" w:hAnsi="Times New Roman" w:eastAsia="宋体" w:cs="Times New Roman"/>
      <w:b/>
      <w:bCs/>
      <w:spacing w:val="20"/>
      <w:sz w:val="48"/>
      <w:lang w:val="en-US" w:eastAsia="zh-CN" w:bidi="ar-SA"/>
    </w:rPr>
  </w:style>
  <w:style w:type="paragraph" w:customStyle="1" w:styleId="419">
    <w:name w:val="项目编号3"/>
    <w:basedOn w:val="1"/>
    <w:next w:val="1"/>
    <w:qFormat/>
    <w:uiPriority w:val="0"/>
    <w:pPr>
      <w:tabs>
        <w:tab w:val="left" w:pos="855"/>
      </w:tabs>
      <w:spacing w:line="360" w:lineRule="auto"/>
      <w:ind w:firstLine="200"/>
      <w:jc w:val="left"/>
    </w:pPr>
    <w:rPr>
      <w:rFonts w:ascii="宋体"/>
      <w:sz w:val="24"/>
      <w:szCs w:val="24"/>
    </w:rPr>
  </w:style>
  <w:style w:type="paragraph" w:customStyle="1" w:styleId="420">
    <w:name w:val="样式 标题 2 + Times New Roman 四号 非加粗 段前: 5 磅 段后: 0 磅 行距: 固定值 20..."/>
    <w:basedOn w:val="177"/>
    <w:qFormat/>
    <w:uiPriority w:val="0"/>
    <w:pPr>
      <w:spacing w:before="100" w:after="0" w:line="400" w:lineRule="exact"/>
    </w:pPr>
    <w:rPr>
      <w:rFonts w:ascii="Times New Roman" w:hAnsi="Times New Roman" w:cs="宋体"/>
      <w:b w:val="0"/>
      <w:bCs w:val="0"/>
      <w:color w:val="FF0000"/>
      <w:sz w:val="30"/>
      <w:szCs w:val="20"/>
    </w:rPr>
  </w:style>
  <w:style w:type="paragraph" w:customStyle="1" w:styleId="421">
    <w:name w:val="修订"/>
    <w:qFormat/>
    <w:uiPriority w:val="0"/>
    <w:rPr>
      <w:rFonts w:hint="default" w:ascii="Times New Roman" w:hAnsi="Times New Roman" w:eastAsia="宋体" w:cs="Times New Roman"/>
      <w:sz w:val="21"/>
      <w:szCs w:val="24"/>
      <w:lang w:val="en-US" w:eastAsia="zh-CN" w:bidi="ar-SA"/>
    </w:rPr>
  </w:style>
  <w:style w:type="paragraph" w:customStyle="1" w:styleId="422">
    <w:name w:val="xl10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rPr>
  </w:style>
  <w:style w:type="paragraph" w:customStyle="1" w:styleId="423">
    <w:name w:val="实施日期"/>
    <w:basedOn w:val="424"/>
    <w:qFormat/>
    <w:uiPriority w:val="0"/>
    <w:pPr>
      <w:framePr w:vAnchor="page" w:hAnchor="text"/>
      <w:jc w:val="right"/>
    </w:pPr>
  </w:style>
  <w:style w:type="paragraph" w:customStyle="1" w:styleId="424">
    <w:name w:val="发布日期"/>
    <w:qFormat/>
    <w:uiPriority w:val="0"/>
    <w:pPr>
      <w:framePr w:w="3997" w:h="471" w:hRule="exact" w:vSpace="181" w:wrap="around" w:vAnchor="margin" w:hAnchor="page" w:x="7089" w:y="14097"/>
    </w:pPr>
    <w:rPr>
      <w:rFonts w:hint="default" w:ascii="Times New Roman" w:hAnsi="Times New Roman" w:eastAsia="黑体" w:cs="Times New Roman"/>
      <w:sz w:val="28"/>
      <w:lang w:val="en-US" w:eastAsia="zh-CN" w:bidi="ar-SA"/>
    </w:rPr>
  </w:style>
  <w:style w:type="paragraph" w:customStyle="1" w:styleId="425">
    <w:name w:val="xl102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426">
    <w:name w:val="附录五级无"/>
    <w:basedOn w:val="427"/>
    <w:qFormat/>
    <w:uiPriority w:val="0"/>
    <w:pPr>
      <w:numPr>
        <w:ilvl w:val="0"/>
        <w:numId w:val="6"/>
      </w:numPr>
      <w:tabs>
        <w:tab w:val="clear" w:pos="0"/>
      </w:tabs>
      <w:spacing w:before="0" w:after="0"/>
      <w:ind w:left="0" w:firstLine="0"/>
    </w:pPr>
    <w:rPr>
      <w:rFonts w:ascii="宋体" w:eastAsia="宋体"/>
      <w:szCs w:val="21"/>
    </w:rPr>
  </w:style>
  <w:style w:type="paragraph" w:customStyle="1" w:styleId="427">
    <w:name w:val="附录五级条标题"/>
    <w:basedOn w:val="382"/>
    <w:next w:val="246"/>
    <w:qFormat/>
    <w:uiPriority w:val="0"/>
    <w:pPr>
      <w:numPr>
        <w:ilvl w:val="0"/>
        <w:numId w:val="7"/>
      </w:numPr>
      <w:tabs>
        <w:tab w:val="clear" w:pos="839"/>
      </w:tabs>
      <w:ind w:left="0" w:firstLine="0"/>
      <w:outlineLvl w:val="6"/>
    </w:pPr>
  </w:style>
  <w:style w:type="paragraph" w:customStyle="1" w:styleId="428">
    <w:name w:val="附录图标号"/>
    <w:basedOn w:val="1"/>
    <w:qFormat/>
    <w:uiPriority w:val="0"/>
    <w:pPr>
      <w:keepNext/>
      <w:pageBreakBefore/>
      <w:widowControl/>
      <w:numPr>
        <w:ilvl w:val="0"/>
        <w:numId w:val="14"/>
      </w:numPr>
      <w:spacing w:line="14" w:lineRule="exact"/>
      <w:ind w:left="0" w:firstLine="363"/>
      <w:jc w:val="center"/>
      <w:outlineLvl w:val="0"/>
    </w:pPr>
    <w:rPr>
      <w:color w:val="FFFFFF"/>
      <w:szCs w:val="24"/>
    </w:rPr>
  </w:style>
  <w:style w:type="paragraph" w:customStyle="1" w:styleId="429">
    <w:name w:val="xl104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sz w:val="20"/>
    </w:rPr>
  </w:style>
  <w:style w:type="paragraph" w:customStyle="1" w:styleId="430">
    <w:name w:val="xl10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31">
    <w:name w:val="H6"/>
    <w:basedOn w:val="1"/>
    <w:next w:val="1"/>
    <w:qFormat/>
    <w:uiPriority w:val="0"/>
    <w:pPr>
      <w:keepNext/>
      <w:spacing w:before="100" w:after="100"/>
      <w:jc w:val="left"/>
      <w:outlineLvl w:val="6"/>
    </w:pPr>
    <w:rPr>
      <w:b/>
      <w:sz w:val="16"/>
    </w:rPr>
  </w:style>
  <w:style w:type="paragraph" w:customStyle="1" w:styleId="432">
    <w:name w:val="注："/>
    <w:next w:val="246"/>
    <w:qFormat/>
    <w:uiPriority w:val="0"/>
    <w:pPr>
      <w:widowControl w:val="0"/>
      <w:numPr>
        <w:ilvl w:val="0"/>
        <w:numId w:val="17"/>
      </w:numPr>
      <w:jc w:val="both"/>
    </w:pPr>
    <w:rPr>
      <w:rFonts w:hint="default" w:ascii="宋体" w:hAnsi="Times New Roman" w:eastAsia="宋体" w:cs="Times New Roman"/>
      <w:sz w:val="18"/>
      <w:szCs w:val="18"/>
      <w:lang w:val="en-US" w:eastAsia="zh-CN" w:bidi="ar-SA"/>
    </w:rPr>
  </w:style>
  <w:style w:type="paragraph" w:customStyle="1" w:styleId="433">
    <w:name w:val="xl997"/>
    <w:basedOn w:val="1"/>
    <w:qFormat/>
    <w:uiPriority w:val="0"/>
    <w:pPr>
      <w:widowControl/>
      <w:spacing w:before="100" w:beforeAutospacing="1" w:after="100" w:afterAutospacing="1"/>
      <w:jc w:val="left"/>
    </w:pPr>
    <w:rPr>
      <w:rFonts w:ascii="宋体" w:hAnsi="宋体" w:cs="宋体"/>
      <w:sz w:val="24"/>
      <w:szCs w:val="24"/>
    </w:rPr>
  </w:style>
  <w:style w:type="paragraph" w:customStyle="1" w:styleId="434">
    <w:name w:val="xl10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35">
    <w:name w:val="xl10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436">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37">
    <w:name w:val="Char Char Char Char"/>
    <w:basedOn w:val="203"/>
    <w:qFormat/>
    <w:uiPriority w:val="0"/>
    <w:pPr>
      <w:spacing w:line="360" w:lineRule="auto"/>
    </w:pPr>
    <w:rPr>
      <w:rFonts w:ascii="Tahoma" w:hAnsi="Tahoma"/>
      <w:sz w:val="24"/>
      <w:szCs w:val="24"/>
    </w:rPr>
  </w:style>
  <w:style w:type="paragraph" w:customStyle="1" w:styleId="438">
    <w:name w:val="font7"/>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439">
    <w:name w:val="附录一级无"/>
    <w:basedOn w:val="415"/>
    <w:qFormat/>
    <w:uiPriority w:val="0"/>
    <w:pPr>
      <w:spacing w:before="0" w:after="0"/>
    </w:pPr>
    <w:rPr>
      <w:rFonts w:ascii="宋体" w:eastAsia="宋体"/>
      <w:szCs w:val="21"/>
    </w:rPr>
  </w:style>
  <w:style w:type="paragraph" w:customStyle="1" w:styleId="440">
    <w:name w:val="一级无"/>
    <w:basedOn w:val="368"/>
    <w:qFormat/>
    <w:uiPriority w:val="0"/>
    <w:pPr>
      <w:spacing w:before="0" w:after="0"/>
    </w:pPr>
    <w:rPr>
      <w:rFonts w:ascii="宋体" w:eastAsia="宋体"/>
    </w:rPr>
  </w:style>
  <w:style w:type="paragraph" w:customStyle="1" w:styleId="441">
    <w:name w:val="列项说明"/>
    <w:basedOn w:val="1"/>
    <w:qFormat/>
    <w:uiPriority w:val="0"/>
    <w:pPr>
      <w:spacing w:line="320" w:lineRule="exact"/>
      <w:ind w:left="400" w:hanging="200"/>
      <w:jc w:val="left"/>
    </w:pPr>
    <w:rPr>
      <w:rFonts w:ascii="宋体"/>
    </w:rPr>
  </w:style>
  <w:style w:type="paragraph" w:customStyle="1" w:styleId="442">
    <w:name w:val="示例×："/>
    <w:basedOn w:val="443"/>
    <w:qFormat/>
    <w:uiPriority w:val="0"/>
    <w:pPr>
      <w:numPr>
        <w:ilvl w:val="0"/>
        <w:numId w:val="18"/>
      </w:numPr>
      <w:spacing w:before="0" w:after="0"/>
      <w:outlineLvl w:val="9"/>
    </w:pPr>
    <w:rPr>
      <w:rFonts w:ascii="宋体" w:eastAsia="宋体"/>
      <w:sz w:val="18"/>
      <w:szCs w:val="18"/>
    </w:rPr>
  </w:style>
  <w:style w:type="paragraph" w:customStyle="1" w:styleId="443">
    <w:name w:val="章标题"/>
    <w:next w:val="246"/>
    <w:qFormat/>
    <w:uiPriority w:val="0"/>
    <w:pPr>
      <w:numPr>
        <w:ilvl w:val="0"/>
        <w:numId w:val="13"/>
      </w:numPr>
      <w:spacing w:before="312" w:after="312"/>
      <w:ind w:left="0" w:firstLine="0"/>
      <w:jc w:val="both"/>
      <w:outlineLvl w:val="1"/>
    </w:pPr>
    <w:rPr>
      <w:rFonts w:hint="default" w:ascii="黑体" w:hAnsi="Times New Roman" w:eastAsia="黑体" w:cs="Times New Roman"/>
      <w:sz w:val="21"/>
      <w:lang w:val="en-US" w:eastAsia="zh-CN" w:bidi="ar-SA"/>
    </w:rPr>
  </w:style>
  <w:style w:type="paragraph" w:customStyle="1" w:styleId="444">
    <w:name w:val="xl10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45">
    <w:name w:val="编号列项（三级）"/>
    <w:qFormat/>
    <w:uiPriority w:val="0"/>
    <w:pPr>
      <w:numPr>
        <w:ilvl w:val="2"/>
        <w:numId w:val="12"/>
      </w:numPr>
    </w:pPr>
    <w:rPr>
      <w:rFonts w:hint="default" w:ascii="宋体" w:hAnsi="Times New Roman" w:eastAsia="宋体" w:cs="Times New Roman"/>
      <w:sz w:val="21"/>
      <w:lang w:val="en-US" w:eastAsia="zh-CN" w:bidi="ar-SA"/>
    </w:rPr>
  </w:style>
  <w:style w:type="paragraph" w:customStyle="1" w:styleId="446">
    <w:name w:val="附录标识"/>
    <w:basedOn w:val="1"/>
    <w:next w:val="246"/>
    <w:qFormat/>
    <w:uiPriority w:val="0"/>
    <w:pPr>
      <w:keepNext/>
      <w:widowControl/>
      <w:numPr>
        <w:ilvl w:val="0"/>
        <w:numId w:val="9"/>
      </w:numPr>
      <w:shd w:val="clear" w:color="FFFFFF" w:fill="FFFFFF"/>
      <w:tabs>
        <w:tab w:val="left" w:pos="6405"/>
      </w:tabs>
      <w:spacing w:before="640" w:after="280"/>
      <w:jc w:val="center"/>
      <w:outlineLvl w:val="0"/>
    </w:pPr>
    <w:rPr>
      <w:rFonts w:ascii="黑体" w:eastAsia="黑体"/>
    </w:rPr>
  </w:style>
  <w:style w:type="paragraph" w:customStyle="1" w:styleId="447">
    <w:name w:val="目次、标准名称标题"/>
    <w:basedOn w:val="1"/>
    <w:next w:val="246"/>
    <w:qFormat/>
    <w:uiPriority w:val="0"/>
    <w:pPr>
      <w:keepNext/>
      <w:pageBreakBefore/>
      <w:widowControl/>
      <w:shd w:val="clear" w:color="FFFFFF" w:fill="FFFFFF"/>
      <w:spacing w:before="640" w:after="560" w:line="460" w:lineRule="exact"/>
      <w:jc w:val="center"/>
      <w:outlineLvl w:val="0"/>
    </w:pPr>
    <w:rPr>
      <w:rFonts w:ascii="黑体" w:eastAsia="黑体"/>
      <w:sz w:val="32"/>
    </w:rPr>
  </w:style>
  <w:style w:type="paragraph" w:customStyle="1" w:styleId="448">
    <w:name w:val="xl10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49">
    <w:name w:val="xl998"/>
    <w:basedOn w:val="1"/>
    <w:qFormat/>
    <w:uiPriority w:val="0"/>
    <w:pPr>
      <w:widowControl/>
      <w:spacing w:before="100" w:beforeAutospacing="1" w:after="100" w:afterAutospacing="1"/>
      <w:jc w:val="left"/>
    </w:pPr>
    <w:rPr>
      <w:rFonts w:ascii="宋体" w:hAnsi="宋体" w:cs="宋体"/>
      <w:sz w:val="20"/>
    </w:rPr>
  </w:style>
  <w:style w:type="paragraph" w:customStyle="1" w:styleId="450">
    <w:name w:val="xl10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51">
    <w:name w:val="xl10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52">
    <w:name w:val="xl10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szCs w:val="24"/>
    </w:rPr>
  </w:style>
  <w:style w:type="paragraph" w:customStyle="1" w:styleId="453">
    <w:name w:val="附录二级无"/>
    <w:basedOn w:val="384"/>
    <w:qFormat/>
    <w:uiPriority w:val="0"/>
    <w:pPr>
      <w:spacing w:before="0" w:after="0"/>
    </w:pPr>
    <w:rPr>
      <w:rFonts w:ascii="宋体" w:eastAsia="宋体"/>
      <w:szCs w:val="21"/>
    </w:rPr>
  </w:style>
  <w:style w:type="paragraph" w:customStyle="1" w:styleId="454">
    <w:name w:val="其他发布部门"/>
    <w:basedOn w:val="401"/>
    <w:qFormat/>
    <w:uiPriority w:val="0"/>
    <w:pPr>
      <w:framePr w:y="15310"/>
      <w:spacing w:line="0" w:lineRule="atLeast"/>
    </w:pPr>
    <w:rPr>
      <w:rFonts w:ascii="黑体" w:eastAsia="黑体"/>
      <w:b w:val="0"/>
    </w:rPr>
  </w:style>
  <w:style w:type="paragraph" w:customStyle="1" w:styleId="455">
    <w:name w:val="xl10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56">
    <w:name w:val="H5"/>
    <w:basedOn w:val="1"/>
    <w:next w:val="1"/>
    <w:qFormat/>
    <w:uiPriority w:val="0"/>
    <w:pPr>
      <w:keepNext/>
      <w:spacing w:before="100" w:after="100"/>
      <w:jc w:val="left"/>
      <w:outlineLvl w:val="5"/>
    </w:pPr>
    <w:rPr>
      <w:b/>
      <w:sz w:val="20"/>
    </w:rPr>
  </w:style>
  <w:style w:type="paragraph" w:customStyle="1" w:styleId="457">
    <w:name w:val="xl10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58">
    <w:name w:val="Char"/>
    <w:basedOn w:val="1"/>
    <w:qFormat/>
    <w:uiPriority w:val="0"/>
    <w:pPr>
      <w:widowControl/>
      <w:spacing w:after="160" w:line="240" w:lineRule="exact"/>
      <w:jc w:val="left"/>
    </w:pPr>
  </w:style>
  <w:style w:type="paragraph" w:customStyle="1" w:styleId="459">
    <w:name w:val="附录表标号"/>
    <w:basedOn w:val="1"/>
    <w:next w:val="246"/>
    <w:qFormat/>
    <w:uiPriority w:val="0"/>
    <w:pPr>
      <w:numPr>
        <w:ilvl w:val="0"/>
        <w:numId w:val="15"/>
      </w:numPr>
      <w:tabs>
        <w:tab w:val="clear" w:pos="0"/>
      </w:tabs>
      <w:spacing w:line="14" w:lineRule="exact"/>
      <w:ind w:left="811" w:hanging="448"/>
      <w:jc w:val="center"/>
      <w:outlineLvl w:val="0"/>
    </w:pPr>
    <w:rPr>
      <w:color w:val="FFFFFF"/>
      <w:szCs w:val="24"/>
    </w:rPr>
  </w:style>
  <w:style w:type="paragraph" w:customStyle="1" w:styleId="460">
    <w:name w:val="标准书眉一"/>
    <w:qFormat/>
    <w:uiPriority w:val="0"/>
    <w:pPr>
      <w:jc w:val="both"/>
    </w:pPr>
    <w:rPr>
      <w:rFonts w:hint="default" w:ascii="Times New Roman" w:hAnsi="Times New Roman" w:eastAsia="宋体" w:cs="Times New Roman"/>
      <w:lang w:val="en-US" w:eastAsia="zh-CN" w:bidi="ar-SA"/>
    </w:rPr>
  </w:style>
  <w:style w:type="paragraph" w:customStyle="1" w:styleId="461">
    <w:name w:val="示例后文字"/>
    <w:basedOn w:val="246"/>
    <w:next w:val="246"/>
    <w:qFormat/>
    <w:uiPriority w:val="0"/>
    <w:pPr>
      <w:ind w:firstLine="360"/>
    </w:pPr>
    <w:rPr>
      <w:sz w:val="18"/>
    </w:rPr>
  </w:style>
  <w:style w:type="paragraph" w:customStyle="1" w:styleId="462">
    <w:name w:val="附录标题"/>
    <w:basedOn w:val="246"/>
    <w:next w:val="246"/>
    <w:qFormat/>
    <w:uiPriority w:val="0"/>
    <w:pPr>
      <w:ind w:firstLine="0"/>
      <w:jc w:val="center"/>
    </w:pPr>
    <w:rPr>
      <w:rFonts w:ascii="黑体" w:eastAsia="黑体"/>
    </w:rPr>
  </w:style>
  <w:style w:type="paragraph" w:customStyle="1" w:styleId="463">
    <w:name w:val="标准书眉_奇数页"/>
    <w:next w:val="1"/>
    <w:qFormat/>
    <w:uiPriority w:val="0"/>
    <w:pPr>
      <w:tabs>
        <w:tab w:val="center" w:pos="4154"/>
        <w:tab w:val="right" w:pos="8306"/>
      </w:tabs>
      <w:spacing w:after="220"/>
      <w:jc w:val="right"/>
    </w:pPr>
    <w:rPr>
      <w:rFonts w:hint="default" w:ascii="黑体" w:hAnsi="Times New Roman" w:eastAsia="黑体" w:cs="Times New Roman"/>
      <w:sz w:val="21"/>
      <w:szCs w:val="21"/>
      <w:lang w:val="en-US" w:eastAsia="zh-CN" w:bidi="ar-SA"/>
    </w:rPr>
  </w:style>
  <w:style w:type="paragraph" w:customStyle="1" w:styleId="464">
    <w:name w:val="列出段落1"/>
    <w:basedOn w:val="1"/>
    <w:qFormat/>
    <w:uiPriority w:val="34"/>
    <w:pPr>
      <w:ind w:firstLine="420"/>
    </w:pPr>
    <w:rPr>
      <w:rFonts w:ascii="Calibri" w:hAnsi="Calibri" w:cs="Calibri"/>
      <w:szCs w:val="21"/>
    </w:rPr>
  </w:style>
  <w:style w:type="paragraph" w:customStyle="1" w:styleId="465">
    <w:name w:val="样式 标题 3 + (中文) 黑体 小四 非加粗 段前: 7.8 磅 段后: 0 磅 行距: 固定值 20 磅"/>
    <w:basedOn w:val="178"/>
    <w:qFormat/>
    <w:uiPriority w:val="0"/>
    <w:pPr>
      <w:widowControl w:val="0"/>
      <w:numPr>
        <w:ilvl w:val="0"/>
        <w:numId w:val="0"/>
      </w:numPr>
      <w:tabs>
        <w:tab w:val="left" w:pos="7200"/>
      </w:tabs>
      <w:spacing w:before="0" w:after="0" w:line="400" w:lineRule="exact"/>
      <w:jc w:val="left"/>
    </w:pPr>
    <w:rPr>
      <w:rFonts w:ascii="宋体" w:hAnsi="宋体" w:eastAsia="黑体" w:cs="宋体"/>
      <w:sz w:val="30"/>
    </w:rPr>
  </w:style>
  <w:style w:type="paragraph" w:customStyle="1" w:styleId="466">
    <w:name w:val=" Char"/>
    <w:basedOn w:val="1"/>
    <w:qFormat/>
    <w:uiPriority w:val="0"/>
    <w:pPr>
      <w:spacing w:line="360" w:lineRule="auto"/>
    </w:pPr>
    <w:rPr>
      <w:sz w:val="20"/>
    </w:rPr>
  </w:style>
  <w:style w:type="paragraph" w:customStyle="1" w:styleId="467">
    <w:name w:val="xl1070"/>
    <w:basedOn w:val="1"/>
    <w:qFormat/>
    <w:uiPriority w:val="0"/>
    <w:pPr>
      <w:widowControl/>
      <w:spacing w:before="100" w:beforeAutospacing="1" w:after="100" w:afterAutospacing="1"/>
      <w:jc w:val="left"/>
    </w:pPr>
    <w:rPr>
      <w:rFonts w:ascii="宋体" w:hAnsi="宋体" w:cs="宋体"/>
      <w:b/>
      <w:bCs/>
      <w:sz w:val="32"/>
      <w:szCs w:val="32"/>
    </w:rPr>
  </w:style>
  <w:style w:type="paragraph" w:customStyle="1" w:styleId="468">
    <w:name w:val="示例"/>
    <w:next w:val="370"/>
    <w:qFormat/>
    <w:uiPriority w:val="0"/>
    <w:pPr>
      <w:widowControl w:val="0"/>
      <w:numPr>
        <w:ilvl w:val="4"/>
        <w:numId w:val="10"/>
      </w:numPr>
      <w:ind w:firstLine="363"/>
      <w:jc w:val="both"/>
    </w:pPr>
    <w:rPr>
      <w:rFonts w:hint="default" w:ascii="宋体" w:hAnsi="Times New Roman" w:eastAsia="宋体" w:cs="Times New Roman"/>
      <w:sz w:val="18"/>
      <w:szCs w:val="18"/>
      <w:lang w:val="en-US" w:eastAsia="zh-CN" w:bidi="ar-SA"/>
    </w:rPr>
  </w:style>
  <w:style w:type="paragraph" w:customStyle="1" w:styleId="469">
    <w:name w:val="标准书脚_偶数页"/>
    <w:qFormat/>
    <w:uiPriority w:val="0"/>
    <w:pPr>
      <w:spacing w:before="120"/>
      <w:ind w:left="221"/>
    </w:pPr>
    <w:rPr>
      <w:rFonts w:hint="default" w:ascii="宋体" w:hAnsi="Times New Roman" w:eastAsia="宋体" w:cs="Times New Roman"/>
      <w:sz w:val="18"/>
      <w:szCs w:val="18"/>
      <w:lang w:val="en-US" w:eastAsia="zh-CN" w:bidi="ar-SA"/>
    </w:rPr>
  </w:style>
  <w:style w:type="paragraph" w:customStyle="1" w:styleId="470">
    <w:name w:val="注×："/>
    <w:qFormat/>
    <w:uiPriority w:val="0"/>
    <w:pPr>
      <w:widowControl w:val="0"/>
      <w:numPr>
        <w:ilvl w:val="0"/>
        <w:numId w:val="19"/>
      </w:numPr>
      <w:jc w:val="both"/>
    </w:pPr>
    <w:rPr>
      <w:rFonts w:hint="default" w:ascii="宋体" w:hAnsi="Times New Roman" w:eastAsia="宋体" w:cs="Times New Roman"/>
      <w:sz w:val="18"/>
      <w:szCs w:val="18"/>
      <w:lang w:val="en-US" w:eastAsia="zh-CN" w:bidi="ar-SA"/>
    </w:rPr>
  </w:style>
  <w:style w:type="paragraph" w:customStyle="1" w:styleId="471">
    <w:name w:val="xl999"/>
    <w:basedOn w:val="1"/>
    <w:qFormat/>
    <w:uiPriority w:val="0"/>
    <w:pPr>
      <w:widowControl/>
      <w:spacing w:before="100" w:beforeAutospacing="1" w:after="100" w:afterAutospacing="1"/>
      <w:jc w:val="left"/>
    </w:pPr>
    <w:rPr>
      <w:rFonts w:ascii="宋体" w:hAnsi="宋体" w:cs="宋体"/>
      <w:sz w:val="24"/>
      <w:szCs w:val="24"/>
    </w:rPr>
  </w:style>
  <w:style w:type="paragraph" w:customStyle="1" w:styleId="472">
    <w:name w:val="xl10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473">
    <w:name w:val="附录字母编号列项（一级）"/>
    <w:qFormat/>
    <w:uiPriority w:val="0"/>
    <w:pPr>
      <w:numPr>
        <w:ilvl w:val="0"/>
        <w:numId w:val="7"/>
      </w:numPr>
    </w:pPr>
    <w:rPr>
      <w:rFonts w:hint="default" w:ascii="宋体" w:hAnsi="Times New Roman" w:eastAsia="宋体" w:cs="Times New Roman"/>
      <w:sz w:val="21"/>
      <w:lang w:val="en-US" w:eastAsia="zh-CN" w:bidi="ar-SA"/>
    </w:rPr>
  </w:style>
  <w:style w:type="paragraph" w:customStyle="1" w:styleId="474">
    <w:name w:val="TOC 标题"/>
    <w:basedOn w:val="176"/>
    <w:next w:val="1"/>
    <w:qFormat/>
    <w:uiPriority w:val="0"/>
    <w:pPr>
      <w:spacing w:line="576" w:lineRule="auto"/>
      <w:outlineLvl w:val="9"/>
    </w:pPr>
    <w:rPr>
      <w:rFonts w:ascii="Calibri" w:hAnsi="Calibri"/>
    </w:rPr>
  </w:style>
  <w:style w:type="paragraph" w:customStyle="1" w:styleId="475">
    <w:name w:val="封面标准代替信息"/>
    <w:qFormat/>
    <w:uiPriority w:val="0"/>
    <w:pPr>
      <w:framePr w:w="9140" w:h="1242" w:hRule="exact" w:hSpace="284" w:wrap="around" w:vAnchor="page" w:hAnchor="page" w:x="1645" w:y="2910"/>
      <w:spacing w:before="57" w:line="280" w:lineRule="exact"/>
      <w:jc w:val="right"/>
    </w:pPr>
    <w:rPr>
      <w:rFonts w:hint="default" w:ascii="宋体" w:hAnsi="Times New Roman" w:eastAsia="宋体" w:cs="Times New Roman"/>
      <w:sz w:val="21"/>
      <w:szCs w:val="21"/>
      <w:lang w:val="en-US" w:eastAsia="zh-CN" w:bidi="ar-SA"/>
    </w:rPr>
  </w:style>
  <w:style w:type="paragraph" w:customStyle="1" w:styleId="476">
    <w:name w:val="默认段落字体 Para Char"/>
    <w:basedOn w:val="1"/>
    <w:qFormat/>
    <w:uiPriority w:val="0"/>
    <w:pPr>
      <w:spacing w:line="360" w:lineRule="auto"/>
      <w:ind w:firstLine="200"/>
    </w:pPr>
    <w:rPr>
      <w:rFonts w:ascii="宋体" w:hAnsi="宋体" w:cs="宋体"/>
      <w:sz w:val="24"/>
      <w:szCs w:val="24"/>
    </w:rPr>
  </w:style>
  <w:style w:type="paragraph" w:customStyle="1" w:styleId="477">
    <w:name w:val="xl1002"/>
    <w:basedOn w:val="1"/>
    <w:qFormat/>
    <w:uiPriority w:val="0"/>
    <w:pPr>
      <w:widowControl/>
      <w:spacing w:before="100" w:beforeAutospacing="1" w:after="100" w:afterAutospacing="1"/>
      <w:jc w:val="left"/>
    </w:pPr>
    <w:rPr>
      <w:rFonts w:ascii="宋体" w:hAnsi="宋体" w:cs="宋体"/>
      <w:sz w:val="20"/>
    </w:rPr>
  </w:style>
  <w:style w:type="paragraph" w:customStyle="1" w:styleId="478">
    <w:name w:val="二级无"/>
    <w:basedOn w:val="367"/>
    <w:qFormat/>
    <w:uiPriority w:val="0"/>
    <w:pPr>
      <w:spacing w:before="0" w:after="0"/>
      <w:ind w:left="0"/>
    </w:pPr>
    <w:rPr>
      <w:rFonts w:ascii="宋体" w:eastAsia="宋体"/>
    </w:rPr>
  </w:style>
  <w:style w:type="paragraph" w:customStyle="1" w:styleId="479">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480">
    <w:name w:val="font5"/>
    <w:basedOn w:val="1"/>
    <w:qFormat/>
    <w:uiPriority w:val="0"/>
    <w:pPr>
      <w:widowControl/>
      <w:spacing w:before="100" w:beforeAutospacing="1" w:after="100" w:afterAutospacing="1"/>
      <w:jc w:val="left"/>
    </w:pPr>
    <w:rPr>
      <w:rFonts w:ascii="宋体" w:hAnsi="宋体" w:cs="宋体"/>
      <w:sz w:val="20"/>
    </w:rPr>
  </w:style>
  <w:style w:type="paragraph" w:customStyle="1" w:styleId="481">
    <w:name w:val="数字编号列项（二级）"/>
    <w:qFormat/>
    <w:uiPriority w:val="0"/>
    <w:pPr>
      <w:numPr>
        <w:ilvl w:val="1"/>
        <w:numId w:val="12"/>
      </w:numPr>
      <w:jc w:val="both"/>
    </w:pPr>
    <w:rPr>
      <w:rFonts w:hint="default" w:ascii="宋体" w:hAnsi="Times New Roman" w:eastAsia="宋体" w:cs="Times New Roman"/>
      <w:sz w:val="21"/>
      <w:lang w:val="en-US" w:eastAsia="zh-CN" w:bidi="ar-SA"/>
    </w:rPr>
  </w:style>
  <w:style w:type="paragraph" w:customStyle="1" w:styleId="482">
    <w:name w:val="xl10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83">
    <w:name w:val="xl10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84">
    <w:name w:val="条文脚注"/>
    <w:basedOn w:val="251"/>
    <w:qFormat/>
    <w:uiPriority w:val="0"/>
    <w:pPr>
      <w:numPr>
        <w:ilvl w:val="0"/>
        <w:numId w:val="0"/>
      </w:numPr>
      <w:jc w:val="both"/>
    </w:pPr>
  </w:style>
  <w:style w:type="paragraph" w:customStyle="1" w:styleId="485">
    <w:name w:val="列项●（二级）"/>
    <w:qFormat/>
    <w:uiPriority w:val="0"/>
    <w:pPr>
      <w:numPr>
        <w:ilvl w:val="1"/>
        <w:numId w:val="11"/>
      </w:numPr>
      <w:tabs>
        <w:tab w:val="left" w:pos="840"/>
      </w:tabs>
      <w:jc w:val="both"/>
    </w:pPr>
    <w:rPr>
      <w:rFonts w:hint="default" w:ascii="宋体" w:hAnsi="Times New Roman" w:eastAsia="宋体" w:cs="Times New Roman"/>
      <w:sz w:val="21"/>
      <w:lang w:val="en-US" w:eastAsia="zh-CN" w:bidi="ar-SA"/>
    </w:rPr>
  </w:style>
  <w:style w:type="paragraph" w:customStyle="1" w:styleId="486">
    <w:name w:val="列项◆（三级）"/>
    <w:basedOn w:val="1"/>
    <w:qFormat/>
    <w:uiPriority w:val="0"/>
    <w:pPr>
      <w:numPr>
        <w:ilvl w:val="0"/>
        <w:numId w:val="13"/>
      </w:numPr>
      <w:tabs>
        <w:tab w:val="left" w:pos="1678"/>
      </w:tabs>
      <w:ind w:left="1678" w:hanging="414"/>
    </w:pPr>
    <w:rPr>
      <w:rFonts w:ascii="宋体"/>
      <w:szCs w:val="21"/>
    </w:rPr>
  </w:style>
  <w:style w:type="paragraph" w:customStyle="1" w:styleId="487">
    <w:name w:val="标准书眉_偶数页"/>
    <w:basedOn w:val="463"/>
    <w:next w:val="1"/>
    <w:qFormat/>
    <w:uiPriority w:val="0"/>
    <w:pPr>
      <w:jc w:val="left"/>
    </w:pPr>
  </w:style>
  <w:style w:type="paragraph" w:customStyle="1" w:styleId="488">
    <w:name w:val="封面一致性程度标识2"/>
    <w:basedOn w:val="390"/>
    <w:qFormat/>
    <w:uiPriority w:val="0"/>
    <w:pPr>
      <w:framePr w:y="4469"/>
    </w:pPr>
  </w:style>
  <w:style w:type="paragraph" w:customStyle="1" w:styleId="489">
    <w:name w:val="xl1034"/>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90">
    <w:name w:val="font9"/>
    <w:basedOn w:val="1"/>
    <w:qFormat/>
    <w:uiPriority w:val="0"/>
    <w:pPr>
      <w:widowControl/>
      <w:spacing w:before="100" w:beforeAutospacing="1" w:after="100" w:afterAutospacing="1"/>
      <w:jc w:val="left"/>
    </w:pPr>
    <w:rPr>
      <w:rFonts w:ascii="宋体" w:hAnsi="宋体" w:cs="宋体"/>
      <w:b/>
      <w:bCs/>
      <w:color w:val="000000"/>
      <w:sz w:val="20"/>
    </w:rPr>
  </w:style>
  <w:style w:type="paragraph" w:customStyle="1" w:styleId="491">
    <w:name w:val="xl10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92">
    <w:name w:val="xl1009"/>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rPr>
  </w:style>
  <w:style w:type="paragraph" w:customStyle="1" w:styleId="493">
    <w:name w:val="列项——（一级）"/>
    <w:qFormat/>
    <w:uiPriority w:val="0"/>
    <w:pPr>
      <w:widowControl w:val="0"/>
      <w:numPr>
        <w:ilvl w:val="3"/>
        <w:numId w:val="10"/>
      </w:numPr>
      <w:ind w:left="833" w:hanging="408"/>
      <w:jc w:val="both"/>
    </w:pPr>
    <w:rPr>
      <w:rFonts w:hint="default" w:ascii="宋体" w:hAnsi="Times New Roman" w:eastAsia="宋体" w:cs="Times New Roman"/>
      <w:sz w:val="21"/>
      <w:lang w:val="en-US" w:eastAsia="zh-CN" w:bidi="ar-SA"/>
    </w:rPr>
  </w:style>
  <w:style w:type="paragraph" w:customStyle="1" w:styleId="494">
    <w:name w:val="xl10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495">
    <w:name w:val="其他标准标志"/>
    <w:basedOn w:val="496"/>
    <w:qFormat/>
    <w:uiPriority w:val="0"/>
    <w:pPr>
      <w:framePr w:w="6101" w:vAnchor="page" w:hAnchor="page" w:x="4673" w:y="942"/>
    </w:pPr>
  </w:style>
  <w:style w:type="paragraph" w:customStyle="1" w:styleId="496">
    <w:name w:val="标准标志"/>
    <w:next w:val="1"/>
    <w:qFormat/>
    <w:uiPriority w:val="0"/>
    <w:pPr>
      <w:framePr w:w="2546" w:h="1389" w:hRule="exact" w:hSpace="181" w:vSpace="181" w:wrap="around" w:vAnchor="margin" w:hAnchor="margin" w:x="6522" w:y="398"/>
      <w:shd w:val="solid" w:color="FFFFFF" w:fill="FFFFFF"/>
      <w:spacing w:line="0" w:lineRule="atLeast"/>
      <w:jc w:val="right"/>
    </w:pPr>
    <w:rPr>
      <w:rFonts w:hint="default" w:ascii="Times New Roman" w:hAnsi="Times New Roman" w:eastAsia="宋体" w:cs="Times New Roman"/>
      <w:b/>
      <w:sz w:val="96"/>
      <w:szCs w:val="96"/>
      <w:lang w:val="en-US" w:eastAsia="zh-CN" w:bidi="ar-SA"/>
    </w:rPr>
  </w:style>
  <w:style w:type="paragraph" w:customStyle="1" w:styleId="497">
    <w:name w:val="参考文献、索引标题"/>
    <w:basedOn w:val="1"/>
    <w:next w:val="246"/>
    <w:qFormat/>
    <w:uiPriority w:val="0"/>
    <w:pPr>
      <w:keepNext/>
      <w:pageBreakBefore/>
      <w:widowControl/>
      <w:shd w:val="clear" w:color="FFFFFF" w:fill="FFFFFF"/>
      <w:spacing w:before="640" w:after="200"/>
      <w:jc w:val="center"/>
      <w:outlineLvl w:val="0"/>
    </w:pPr>
    <w:rPr>
      <w:rFonts w:ascii="黑体" w:eastAsia="黑体"/>
    </w:rPr>
  </w:style>
  <w:style w:type="paragraph" w:customStyle="1" w:styleId="498">
    <w:name w:val="四级无"/>
    <w:basedOn w:val="365"/>
    <w:qFormat/>
    <w:uiPriority w:val="0"/>
    <w:pPr>
      <w:numPr>
        <w:ilvl w:val="0"/>
        <w:numId w:val="8"/>
      </w:numPr>
      <w:spacing w:before="0" w:after="0"/>
      <w:ind w:firstLine="0"/>
    </w:pPr>
    <w:rPr>
      <w:rFonts w:ascii="宋体" w:eastAsia="宋体"/>
    </w:rPr>
  </w:style>
  <w:style w:type="paragraph" w:customStyle="1" w:styleId="499">
    <w:name w:val="xl10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500">
    <w:name w:val="xl10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501">
    <w:name w:val="Blockquote"/>
    <w:basedOn w:val="1"/>
    <w:qFormat/>
    <w:uiPriority w:val="0"/>
    <w:pPr>
      <w:spacing w:before="100" w:after="100"/>
      <w:ind w:left="360" w:right="360"/>
      <w:jc w:val="left"/>
    </w:pPr>
    <w:rPr>
      <w:sz w:val="24"/>
    </w:rPr>
  </w:style>
  <w:style w:type="paragraph" w:customStyle="1" w:styleId="502">
    <w:name w:val="xl10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503">
    <w:name w:val="xl1001"/>
    <w:basedOn w:val="1"/>
    <w:qFormat/>
    <w:uiPriority w:val="0"/>
    <w:pPr>
      <w:widowControl/>
      <w:spacing w:before="100" w:beforeAutospacing="1" w:after="100" w:afterAutospacing="1"/>
      <w:jc w:val="center"/>
    </w:pPr>
    <w:rPr>
      <w:rFonts w:ascii="宋体" w:hAnsi="宋体" w:cs="宋体"/>
      <w:sz w:val="20"/>
    </w:rPr>
  </w:style>
  <w:style w:type="paragraph" w:customStyle="1" w:styleId="504">
    <w:name w:val="ugc"/>
    <w:basedOn w:val="1"/>
    <w:qFormat/>
    <w:uiPriority w:val="0"/>
    <w:pPr>
      <w:widowControl/>
      <w:spacing w:before="100" w:beforeAutospacing="1" w:after="100" w:afterAutospacing="1"/>
      <w:jc w:val="left"/>
    </w:pPr>
    <w:rPr>
      <w:rFonts w:ascii="宋体" w:hAnsi="宋体" w:cs="宋体"/>
      <w:szCs w:val="21"/>
    </w:rPr>
  </w:style>
  <w:style w:type="paragraph" w:customStyle="1" w:styleId="505">
    <w:name w:val="xl10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506">
    <w:name w:val="文献分类号"/>
    <w:qFormat/>
    <w:uiPriority w:val="0"/>
    <w:pPr>
      <w:framePr w:hSpace="180" w:vSpace="180" w:wrap="around" w:vAnchor="margin" w:hAnchor="margin" w:y="1"/>
      <w:widowControl w:val="0"/>
    </w:pPr>
    <w:rPr>
      <w:rFonts w:hint="default" w:ascii="黑体" w:hAnsi="Times New Roman" w:eastAsia="黑体" w:cs="Times New Roman"/>
      <w:sz w:val="21"/>
      <w:szCs w:val="21"/>
      <w:lang w:val="en-US" w:eastAsia="zh-CN" w:bidi="ar-SA"/>
    </w:rPr>
  </w:style>
  <w:style w:type="paragraph" w:customStyle="1" w:styleId="507">
    <w:name w:val="xl10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508">
    <w:name w:val="封面标准名称2"/>
    <w:basedOn w:val="385"/>
    <w:qFormat/>
    <w:uiPriority w:val="0"/>
    <w:pPr>
      <w:framePr w:y="4469"/>
      <w:spacing w:before="630"/>
    </w:pPr>
  </w:style>
  <w:style w:type="paragraph" w:customStyle="1" w:styleId="509">
    <w:name w:val="Definition List"/>
    <w:basedOn w:val="1"/>
    <w:next w:val="510"/>
    <w:qFormat/>
    <w:uiPriority w:val="0"/>
    <w:pPr>
      <w:ind w:left="360"/>
      <w:jc w:val="left"/>
    </w:pPr>
    <w:rPr>
      <w:sz w:val="24"/>
    </w:rPr>
  </w:style>
  <w:style w:type="paragraph" w:customStyle="1" w:styleId="510">
    <w:name w:val="Definition Term"/>
    <w:basedOn w:val="1"/>
    <w:next w:val="509"/>
    <w:qFormat/>
    <w:uiPriority w:val="0"/>
    <w:pPr>
      <w:jc w:val="left"/>
    </w:pPr>
    <w:rPr>
      <w:sz w:val="24"/>
    </w:rPr>
  </w:style>
  <w:style w:type="paragraph" w:customStyle="1" w:styleId="511">
    <w:name w:val="附录图标题"/>
    <w:basedOn w:val="1"/>
    <w:next w:val="246"/>
    <w:qFormat/>
    <w:uiPriority w:val="0"/>
    <w:pPr>
      <w:numPr>
        <w:ilvl w:val="1"/>
        <w:numId w:val="14"/>
      </w:numPr>
      <w:tabs>
        <w:tab w:val="left" w:pos="363"/>
      </w:tabs>
      <w:spacing w:before="50" w:after="50"/>
      <w:ind w:left="0" w:firstLine="0"/>
      <w:jc w:val="center"/>
    </w:pPr>
    <w:rPr>
      <w:rFonts w:ascii="黑体" w:eastAsia="黑体"/>
      <w:szCs w:val="21"/>
    </w:rPr>
  </w:style>
  <w:style w:type="paragraph" w:customStyle="1" w:styleId="512">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513">
    <w:name w:val="xl10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514">
    <w:name w:val="封面标准号2"/>
    <w:qFormat/>
    <w:uiPriority w:val="0"/>
    <w:pPr>
      <w:framePr w:w="9140" w:h="1242" w:hRule="exact" w:hSpace="284" w:wrap="around" w:vAnchor="page" w:hAnchor="page" w:x="1645" w:y="2910"/>
      <w:spacing w:before="357" w:line="280" w:lineRule="exact"/>
      <w:jc w:val="right"/>
    </w:pPr>
    <w:rPr>
      <w:rFonts w:hint="default" w:ascii="黑体" w:hAnsi="Times New Roman" w:eastAsia="黑体" w:cs="Times New Roman"/>
      <w:sz w:val="28"/>
      <w:szCs w:val="28"/>
      <w:lang w:val="en-US" w:eastAsia="zh-CN" w:bidi="ar-SA"/>
    </w:rPr>
  </w:style>
  <w:style w:type="paragraph" w:customStyle="1" w:styleId="515">
    <w:name w:val="xl1044"/>
    <w:basedOn w:val="1"/>
    <w:qFormat/>
    <w:uiPriority w:val="0"/>
    <w:pPr>
      <w:widowControl/>
      <w:shd w:val="clear" w:color="000000" w:fill="FFFFFF"/>
      <w:spacing w:before="100" w:beforeAutospacing="1" w:after="100" w:afterAutospacing="1"/>
      <w:jc w:val="left"/>
    </w:pPr>
    <w:rPr>
      <w:rFonts w:ascii="宋体" w:hAnsi="宋体" w:cs="宋体"/>
      <w:sz w:val="20"/>
    </w:rPr>
  </w:style>
  <w:style w:type="paragraph" w:customStyle="1" w:styleId="516">
    <w:name w:val="正文表标题"/>
    <w:next w:val="246"/>
    <w:qFormat/>
    <w:uiPriority w:val="0"/>
    <w:pPr>
      <w:numPr>
        <w:ilvl w:val="0"/>
        <w:numId w:val="16"/>
      </w:numPr>
      <w:tabs>
        <w:tab w:val="left" w:pos="360"/>
      </w:tabs>
      <w:spacing w:before="156" w:after="156"/>
      <w:jc w:val="center"/>
    </w:pPr>
    <w:rPr>
      <w:rFonts w:hint="default" w:ascii="黑体" w:hAnsi="Times New Roman" w:eastAsia="黑体" w:cs="Times New Roman"/>
      <w:sz w:val="21"/>
      <w:lang w:val="en-US" w:eastAsia="zh-CN" w:bidi="ar-SA"/>
    </w:rPr>
  </w:style>
  <w:style w:type="paragraph" w:customStyle="1" w:styleId="517">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518">
    <w:name w:val="其他实施日期"/>
    <w:basedOn w:val="423"/>
    <w:qFormat/>
    <w:uiPriority w:val="0"/>
  </w:style>
  <w:style w:type="paragraph" w:customStyle="1" w:styleId="519">
    <w:name w:val="H2"/>
    <w:basedOn w:val="1"/>
    <w:next w:val="1"/>
    <w:qFormat/>
    <w:uiPriority w:val="0"/>
    <w:pPr>
      <w:keepNext/>
      <w:spacing w:before="100" w:after="100"/>
      <w:jc w:val="left"/>
      <w:outlineLvl w:val="2"/>
    </w:pPr>
    <w:rPr>
      <w:b/>
      <w:sz w:val="36"/>
    </w:rPr>
  </w:style>
  <w:style w:type="paragraph" w:customStyle="1" w:styleId="520">
    <w:name w:val="xl10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521">
    <w:name w:val="xl10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0"/>
    </w:rPr>
  </w:style>
  <w:style w:type="paragraph" w:customStyle="1" w:styleId="522">
    <w:name w:val="xl106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523">
    <w:name w:val="xl10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524">
    <w:name w:val="样式 标题 1 + 黑体 三号 非加粗 居中 段前: 6 磅 段后: 6 磅 行距: 固定值 20 磅"/>
    <w:basedOn w:val="176"/>
    <w:qFormat/>
    <w:uiPriority w:val="0"/>
    <w:pPr>
      <w:spacing w:before="120" w:after="120" w:line="400" w:lineRule="exact"/>
      <w:jc w:val="center"/>
    </w:pPr>
    <w:rPr>
      <w:rFonts w:ascii="黑体" w:hAnsi="黑体" w:eastAsia="黑体" w:cs="宋体"/>
      <w:b w:val="0"/>
      <w:bCs w:val="0"/>
      <w:sz w:val="32"/>
      <w:szCs w:val="20"/>
    </w:rPr>
  </w:style>
  <w:style w:type="paragraph" w:customStyle="1" w:styleId="525">
    <w:name w:val="xl10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rPr>
  </w:style>
  <w:style w:type="paragraph" w:customStyle="1" w:styleId="526">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527">
    <w:name w:val="xl1000"/>
    <w:basedOn w:val="1"/>
    <w:qFormat/>
    <w:uiPriority w:val="0"/>
    <w:pPr>
      <w:widowControl/>
      <w:spacing w:before="100" w:beforeAutospacing="1" w:after="100" w:afterAutospacing="1"/>
      <w:jc w:val="left"/>
    </w:pPr>
    <w:rPr>
      <w:rFonts w:ascii="宋体" w:hAnsi="宋体" w:cs="宋体"/>
      <w:sz w:val="20"/>
    </w:rPr>
  </w:style>
  <w:style w:type="paragraph" w:customStyle="1" w:styleId="528">
    <w:name w:val="xl106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529">
    <w:name w:val="注：（正文）"/>
    <w:basedOn w:val="432"/>
    <w:next w:val="246"/>
    <w:qFormat/>
    <w:uiPriority w:val="0"/>
  </w:style>
  <w:style w:type="paragraph" w:customStyle="1" w:styleId="530">
    <w:name w:val="H3"/>
    <w:basedOn w:val="1"/>
    <w:next w:val="1"/>
    <w:qFormat/>
    <w:uiPriority w:val="0"/>
    <w:pPr>
      <w:keepNext/>
      <w:spacing w:before="100" w:after="100"/>
      <w:jc w:val="left"/>
      <w:outlineLvl w:val="3"/>
    </w:pPr>
    <w:rPr>
      <w:b/>
      <w:sz w:val="28"/>
    </w:rPr>
  </w:style>
  <w:style w:type="paragraph" w:customStyle="1" w:styleId="531">
    <w:name w:val="封面正文"/>
    <w:qFormat/>
    <w:uiPriority w:val="0"/>
    <w:pPr>
      <w:numPr>
        <w:ilvl w:val="3"/>
        <w:numId w:val="9"/>
      </w:numPr>
      <w:jc w:val="both"/>
    </w:pPr>
    <w:rPr>
      <w:rFonts w:hint="default" w:ascii="Times New Roman" w:hAnsi="Times New Roman" w:eastAsia="宋体" w:cs="Times New Roman"/>
      <w:lang w:val="en-US" w:eastAsia="zh-CN" w:bidi="ar-SA"/>
    </w:rPr>
  </w:style>
  <w:style w:type="paragraph" w:customStyle="1" w:styleId="532">
    <w:name w:val="样式1"/>
    <w:basedOn w:val="1"/>
    <w:qFormat/>
    <w:uiPriority w:val="0"/>
    <w:pPr>
      <w:jc w:val="center"/>
    </w:pPr>
    <w:rPr>
      <w:rFonts w:ascii="幼圆" w:eastAsia="幼圆"/>
      <w:b/>
      <w:sz w:val="32"/>
      <w:szCs w:val="28"/>
    </w:rPr>
  </w:style>
  <w:style w:type="paragraph" w:customStyle="1" w:styleId="533">
    <w:name w:val="H4"/>
    <w:basedOn w:val="1"/>
    <w:next w:val="1"/>
    <w:qFormat/>
    <w:uiPriority w:val="0"/>
    <w:pPr>
      <w:keepNext/>
      <w:spacing w:before="100" w:after="100"/>
      <w:jc w:val="left"/>
      <w:outlineLvl w:val="4"/>
    </w:pPr>
    <w:rPr>
      <w:b/>
      <w:sz w:val="24"/>
    </w:rPr>
  </w:style>
  <w:style w:type="paragraph" w:customStyle="1" w:styleId="534">
    <w:name w:val="xl104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535">
    <w:name w:val="图的脚注"/>
    <w:next w:val="246"/>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536">
    <w:name w:val="无间隔"/>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7">
    <w:name w:val="xl10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538">
    <w:name w:val="xl10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539">
    <w:name w:val="终结线"/>
    <w:basedOn w:val="1"/>
    <w:qFormat/>
    <w:uiPriority w:val="0"/>
    <w:pPr>
      <w:framePr w:hSpace="181" w:vSpace="181" w:wrap="around" w:vAnchor="text" w:hAnchor="margin" w:xAlign="center" w:y="285"/>
    </w:pPr>
    <w:rPr>
      <w:szCs w:val="24"/>
    </w:rPr>
  </w:style>
  <w:style w:type="paragraph" w:customStyle="1" w:styleId="540">
    <w:name w:val="字母编号列项（一级）"/>
    <w:qFormat/>
    <w:uiPriority w:val="0"/>
    <w:pPr>
      <w:tabs>
        <w:tab w:val="left" w:pos="839"/>
      </w:tabs>
      <w:ind w:left="839" w:hanging="419"/>
      <w:jc w:val="both"/>
    </w:pPr>
    <w:rPr>
      <w:rFonts w:hint="default" w:ascii="宋体" w:hAnsi="Times New Roman" w:eastAsia="宋体" w:cs="Times New Roman"/>
      <w:sz w:val="21"/>
      <w:lang w:val="en-US" w:eastAsia="zh-CN" w:bidi="ar-SA"/>
    </w:rPr>
  </w:style>
  <w:style w:type="paragraph" w:customStyle="1" w:styleId="541">
    <w:name w:val="附录表标题"/>
    <w:basedOn w:val="1"/>
    <w:next w:val="246"/>
    <w:qFormat/>
    <w:uiPriority w:val="0"/>
    <w:pPr>
      <w:numPr>
        <w:ilvl w:val="1"/>
        <w:numId w:val="15"/>
      </w:numPr>
      <w:tabs>
        <w:tab w:val="left" w:pos="180"/>
      </w:tabs>
      <w:spacing w:before="50" w:after="50"/>
      <w:ind w:left="0" w:firstLine="0"/>
      <w:jc w:val="center"/>
    </w:pPr>
    <w:rPr>
      <w:rFonts w:ascii="黑体" w:eastAsia="黑体"/>
      <w:szCs w:val="21"/>
    </w:rPr>
  </w:style>
  <w:style w:type="paragraph" w:customStyle="1" w:styleId="542">
    <w:name w:val="三级无"/>
    <w:basedOn w:val="366"/>
    <w:qFormat/>
    <w:uiPriority w:val="0"/>
    <w:pPr>
      <w:numPr>
        <w:ilvl w:val="0"/>
        <w:numId w:val="8"/>
      </w:numPr>
      <w:spacing w:before="0" w:after="0"/>
      <w:ind w:firstLine="0"/>
    </w:pPr>
    <w:rPr>
      <w:rFonts w:ascii="宋体" w:eastAsia="宋体"/>
    </w:rPr>
  </w:style>
  <w:style w:type="paragraph" w:customStyle="1" w:styleId="543">
    <w:name w:val="前言、引言标题"/>
    <w:next w:val="246"/>
    <w:qFormat/>
    <w:uiPriority w:val="0"/>
    <w:pPr>
      <w:keepNext/>
      <w:pageBreakBefore/>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544">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45">
    <w:name w:val="图表脚注说明"/>
    <w:basedOn w:val="1"/>
    <w:qFormat/>
    <w:uiPriority w:val="0"/>
    <w:pPr>
      <w:numPr>
        <w:ilvl w:val="0"/>
        <w:numId w:val="2"/>
      </w:numPr>
    </w:pPr>
    <w:rPr>
      <w:rFonts w:ascii="宋体"/>
      <w:sz w:val="18"/>
      <w:szCs w:val="18"/>
    </w:rPr>
  </w:style>
  <w:style w:type="paragraph" w:customStyle="1" w:styleId="546">
    <w:name w:val="xl10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547">
    <w:name w:val="xl10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548">
    <w:name w:val="附录三级无"/>
    <w:basedOn w:val="383"/>
    <w:qFormat/>
    <w:uiPriority w:val="0"/>
    <w:pPr>
      <w:numPr>
        <w:ilvl w:val="1"/>
        <w:numId w:val="14"/>
      </w:numPr>
      <w:spacing w:before="0" w:after="0"/>
      <w:ind w:left="0" w:firstLine="0"/>
    </w:pPr>
    <w:rPr>
      <w:rFonts w:ascii="宋体" w:eastAsia="宋体"/>
      <w:szCs w:val="21"/>
    </w:rPr>
  </w:style>
  <w:style w:type="paragraph" w:customStyle="1" w:styleId="549">
    <w:name w:val="参考文献"/>
    <w:basedOn w:val="1"/>
    <w:next w:val="246"/>
    <w:qFormat/>
    <w:uiPriority w:val="0"/>
    <w:pPr>
      <w:keepNext/>
      <w:pageBreakBefore/>
      <w:widowControl/>
      <w:shd w:val="clear" w:color="FFFFFF" w:fill="FFFFFF"/>
      <w:spacing w:before="640" w:after="200"/>
      <w:jc w:val="center"/>
      <w:outlineLvl w:val="0"/>
    </w:pPr>
    <w:rPr>
      <w:rFonts w:ascii="黑体" w:eastAsia="黑体"/>
    </w:rPr>
  </w:style>
  <w:style w:type="paragraph" w:customStyle="1" w:styleId="550">
    <w:name w:val="xl10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551">
    <w:name w:val="xl10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552">
    <w:name w:val="xl10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553">
    <w:name w:val="xl10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554">
    <w:name w:val="其他发布日期"/>
    <w:basedOn w:val="424"/>
    <w:qFormat/>
    <w:uiPriority w:val="0"/>
    <w:pPr>
      <w:framePr w:vAnchor="page" w:hAnchor="text" w:x="1419"/>
      <w:numPr>
        <w:ilvl w:val="0"/>
        <w:numId w:val="20"/>
      </w:numPr>
    </w:pPr>
  </w:style>
  <w:style w:type="paragraph" w:customStyle="1" w:styleId="555">
    <w:name w:val="xl10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556">
    <w:name w:val="xl10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557">
    <w:name w:val="图标脚注说明"/>
    <w:basedOn w:val="246"/>
    <w:qFormat/>
    <w:uiPriority w:val="0"/>
    <w:pPr>
      <w:ind w:left="840" w:hanging="420"/>
    </w:pPr>
    <w:rPr>
      <w:sz w:val="18"/>
      <w:szCs w:val="18"/>
    </w:rPr>
  </w:style>
  <w:style w:type="paragraph" w:customStyle="1" w:styleId="558">
    <w:name w:val="xl10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rPr>
  </w:style>
  <w:style w:type="paragraph" w:customStyle="1" w:styleId="559">
    <w:name w:val="xl10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560">
    <w:name w:val="xl1072"/>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561">
    <w:name w:val="正文公式编号制表符"/>
    <w:basedOn w:val="246"/>
    <w:next w:val="246"/>
    <w:qFormat/>
    <w:uiPriority w:val="0"/>
    <w:pPr>
      <w:ind w:firstLine="0"/>
    </w:pPr>
  </w:style>
  <w:style w:type="paragraph" w:customStyle="1" w:styleId="562">
    <w:name w:val="xl1008"/>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sz w:val="20"/>
    </w:rPr>
  </w:style>
  <w:style w:type="paragraph" w:customStyle="1" w:styleId="563">
    <w:name w:val="Table Paragraph"/>
    <w:basedOn w:val="1"/>
    <w:qFormat/>
    <w:uiPriority w:val="1"/>
    <w:pPr>
      <w:jc w:val="left"/>
    </w:pPr>
    <w:rPr>
      <w:sz w:val="24"/>
      <w:szCs w:val="24"/>
    </w:rPr>
  </w:style>
  <w:style w:type="table" w:customStyle="1" w:styleId="564">
    <w:name w:val="网格型1"/>
    <w:basedOn w:val="186"/>
    <w:unhideWhenUsed/>
    <w:qFormat/>
    <w:uiPriority w:val="99"/>
    <w:pPr>
      <w:widowControl w:val="0"/>
      <w:jc w:val="both"/>
    </w:pPr>
  </w:style>
  <w:style w:type="table" w:customStyle="1" w:styleId="565">
    <w:name w:val="Table Normal"/>
    <w:unhideWhenUsed/>
    <w:qFormat/>
    <w:uiPriority w:val="2"/>
    <w:pPr>
      <w:widowControl w:val="0"/>
    </w:pPr>
    <w:rPr>
      <w:rFonts w:ascii="Calibri" w:hAnsi="Calibri"/>
      <w:sz w:val="22"/>
      <w:szCs w:val="22"/>
      <w:lang w:val="en-US" w:eastAsia="en-US" w:bidi="ar-SA"/>
    </w:rPr>
  </w:style>
  <w:style w:type="paragraph" w:customStyle="1" w:styleId="566">
    <w:name w:val="_Style 9"/>
    <w:basedOn w:val="1"/>
    <w:next w:val="567"/>
    <w:qFormat/>
    <w:uiPriority w:val="34"/>
    <w:pPr>
      <w:widowControl w:val="0"/>
      <w:spacing w:after="0"/>
      <w:ind w:firstLine="420"/>
      <w:jc w:val="both"/>
    </w:pPr>
    <w:rPr>
      <w:rFonts w:ascii="Calibri" w:hAnsi="Calibri"/>
      <w:sz w:val="21"/>
    </w:rPr>
  </w:style>
  <w:style w:type="paragraph" w:customStyle="1" w:styleId="567">
    <w:name w:val="彩色列表1"/>
    <w:basedOn w:val="1"/>
    <w:qFormat/>
    <w:uiPriority w:val="0"/>
    <w:pPr>
      <w:ind w:firstLine="420"/>
    </w:pPr>
    <w:rPr>
      <w:rFonts w:ascii="Calibri" w:hAnsi="Calibri"/>
      <w:szCs w:val="22"/>
    </w:rPr>
  </w:style>
  <w:style w:type="paragraph" w:customStyle="1" w:styleId="568">
    <w:name w:val="_Style 30"/>
    <w:basedOn w:val="1"/>
    <w:next w:val="225"/>
    <w:qFormat/>
    <w:uiPriority w:val="0"/>
    <w:rPr>
      <w:rFonts w:ascii="宋体" w:hAnsi="Courier New"/>
    </w:rPr>
  </w:style>
  <w:style w:type="paragraph" w:customStyle="1" w:styleId="569">
    <w:name w:val="TOC 标题1"/>
    <w:basedOn w:val="176"/>
    <w:next w:val="1"/>
    <w:qFormat/>
    <w:uiPriority w:val="39"/>
    <w:pPr>
      <w:spacing w:before="480" w:line="276" w:lineRule="auto"/>
      <w:outlineLvl w:val="9"/>
    </w:pPr>
    <w:rPr>
      <w:rFonts w:ascii="仿宋" w:hAnsi="仿宋" w:eastAsia="仿宋" w:cs="仿宋"/>
      <w:color w:val="000000"/>
      <w:sz w:val="32"/>
      <w:szCs w:val="32"/>
    </w:rPr>
  </w:style>
  <w:style w:type="character" w:customStyle="1" w:styleId="570">
    <w:name w:val="font112"/>
    <w:link w:val="1"/>
    <w:qFormat/>
    <w:uiPriority w:val="0"/>
    <w:rPr>
      <w:rFonts w:ascii="Times New Roman" w:hAnsi="Times New Roman" w:cs="Times New Roman"/>
      <w:color w:val="000000"/>
      <w:sz w:val="24"/>
      <w:szCs w:val="24"/>
      <w:u w:val="none"/>
    </w:rPr>
  </w:style>
  <w:style w:type="character" w:customStyle="1" w:styleId="571">
    <w:name w:val="font131"/>
    <w:link w:val="1"/>
    <w:qFormat/>
    <w:uiPriority w:val="0"/>
    <w:rPr>
      <w:rFonts w:hint="eastAsia" w:ascii="宋体" w:hAnsi="宋体" w:eastAsia="宋体" w:cs="宋体"/>
      <w:color w:val="000000"/>
      <w:sz w:val="24"/>
      <w:szCs w:val="24"/>
      <w:u w:val="none"/>
    </w:rPr>
  </w:style>
  <w:style w:type="character" w:customStyle="1" w:styleId="572">
    <w:name w:val="font91"/>
    <w:link w:val="1"/>
    <w:qFormat/>
    <w:uiPriority w:val="0"/>
    <w:rPr>
      <w:rFonts w:ascii="Times New Roman" w:hAnsi="Times New Roman" w:cs="Times New Roman"/>
      <w:color w:val="000000"/>
      <w:sz w:val="24"/>
      <w:szCs w:val="24"/>
      <w:u w:val="none"/>
    </w:rPr>
  </w:style>
  <w:style w:type="paragraph" w:customStyle="1" w:styleId="573">
    <w:name w:val="Normal_0_1"/>
    <w:qFormat/>
    <w:uiPriority w:val="0"/>
    <w:rPr>
      <w:rFonts w:hint="default" w:ascii="Calibri" w:hAnsi="Calibri" w:eastAsia="Times New Roman" w:cs="Times New Roman"/>
      <w:sz w:val="24"/>
      <w:szCs w:val="24"/>
      <w:lang w:val="en-US" w:eastAsia="zh-CN" w:bidi="ar-SA"/>
    </w:rPr>
  </w:style>
  <w:style w:type="table" w:customStyle="1" w:styleId="574">
    <w:name w:val="网格型2"/>
    <w:basedOn w:val="186"/>
    <w:qFormat/>
    <w:uiPriority w:val="0"/>
    <w:pPr>
      <w:widowControl w:val="0"/>
      <w:jc w:val="both"/>
    </w:pPr>
    <w:rPr>
      <w:rFonts w:ascii="楷体_GB2312" w:hAnsi="楷体_GB2312" w:eastAsia="等线" w:cs="楷体_GB2312"/>
    </w:rPr>
  </w:style>
  <w:style w:type="paragraph" w:customStyle="1" w:styleId="575">
    <w:name w:val="xl38"/>
    <w:basedOn w:val="1"/>
    <w:qFormat/>
    <w:uiPriority w:val="0"/>
    <w:pPr>
      <w:widowControl/>
      <w:spacing w:before="100" w:beforeAutospacing="1" w:after="100" w:afterAutospacing="1"/>
      <w:jc w:val="center"/>
    </w:pPr>
    <w:rPr>
      <w:rFonts w:hint="eastAsia" w:ascii="Arial" w:hAnsi="Verdana" w:eastAsia="Arial" w:cs="楷体_GB2312"/>
      <w:b/>
      <w:bCs/>
      <w:sz w:val="48"/>
      <w:szCs w:val="48"/>
    </w:rPr>
  </w:style>
  <w:style w:type="paragraph" w:customStyle="1" w:styleId="576">
    <w:name w:val="标准式样"/>
    <w:basedOn w:val="259"/>
    <w:qFormat/>
    <w:uiPriority w:val="0"/>
    <w:pPr>
      <w:widowControl w:val="0"/>
      <w:tabs>
        <w:tab w:val="clear" w:pos="9170"/>
      </w:tabs>
      <w:spacing w:line="288" w:lineRule="auto"/>
      <w:ind w:firstLine="420"/>
    </w:pPr>
    <w:rPr>
      <w:rFonts w:ascii="楷体_GB2312" w:hAnsi="楷体_GB2312" w:eastAsia="等线" w:cs="楷体_GB2312"/>
      <w:color w:val="000000"/>
    </w:rPr>
  </w:style>
  <w:style w:type="paragraph" w:customStyle="1" w:styleId="57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sz w:val="20"/>
    </w:rPr>
  </w:style>
  <w:style w:type="paragraph" w:customStyle="1" w:styleId="578">
    <w:name w:val="Char Char Char Char Char Char Char"/>
    <w:basedOn w:val="1"/>
    <w:qFormat/>
    <w:uiPriority w:val="0"/>
    <w:pPr>
      <w:widowControl/>
      <w:spacing w:after="160" w:line="240" w:lineRule="exact"/>
      <w:jc w:val="left"/>
    </w:pPr>
    <w:rPr>
      <w:rFonts w:ascii="Calibri" w:hAnsi="Calibri" w:eastAsia="楷体_GB2312" w:cs="黑体"/>
      <w:b/>
      <w:sz w:val="24"/>
      <w:szCs w:val="24"/>
      <w:lang w:eastAsia="en-US"/>
    </w:rPr>
  </w:style>
  <w:style w:type="paragraph" w:customStyle="1" w:styleId="579">
    <w:name w:val="菲页(卷)"/>
    <w:basedOn w:val="176"/>
    <w:next w:val="580"/>
    <w:qFormat/>
    <w:uiPriority w:val="0"/>
    <w:pPr>
      <w:keepLines w:val="0"/>
      <w:widowControl/>
      <w:tabs>
        <w:tab w:val="left" w:pos="1800"/>
      </w:tabs>
      <w:spacing w:before="0" w:after="0" w:line="240" w:lineRule="auto"/>
      <w:ind w:left="780" w:hanging="360"/>
      <w:jc w:val="center"/>
      <w:outlineLvl w:val="1"/>
    </w:pPr>
    <w:rPr>
      <w:rFonts w:ascii="隶书" w:hAnsi="楷体_GB2312" w:eastAsia="隶书"/>
      <w:b w:val="0"/>
      <w:bCs w:val="0"/>
      <w:sz w:val="52"/>
      <w:szCs w:val="20"/>
    </w:rPr>
  </w:style>
  <w:style w:type="paragraph" w:customStyle="1" w:styleId="580">
    <w:name w:val="正文1"/>
    <w:qFormat/>
    <w:uiPriority w:val="0"/>
    <w:pPr>
      <w:widowControl w:val="0"/>
      <w:spacing w:line="312" w:lineRule="atLeast"/>
      <w:jc w:val="both"/>
    </w:pPr>
    <w:rPr>
      <w:rFonts w:hint="default" w:ascii="Verdana" w:hAnsi="楷体_GB2312" w:eastAsia="等线" w:cs="楷体_GB2312"/>
      <w:sz w:val="34"/>
      <w:lang w:val="en-US" w:eastAsia="zh-CN" w:bidi="ar-SA"/>
    </w:rPr>
  </w:style>
  <w:style w:type="paragraph" w:customStyle="1" w:styleId="58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Verdana" w:hAnsi="Verdana" w:eastAsia="等线" w:cs="楷体_GB2312"/>
      <w:sz w:val="20"/>
    </w:rPr>
  </w:style>
  <w:style w:type="paragraph" w:customStyle="1" w:styleId="582">
    <w:name w:val="函数注释2"/>
    <w:basedOn w:val="1"/>
    <w:qFormat/>
    <w:uiPriority w:val="0"/>
    <w:pPr>
      <w:spacing w:after="20" w:line="288" w:lineRule="auto"/>
      <w:ind w:left="1680" w:firstLine="420"/>
    </w:pPr>
    <w:rPr>
      <w:rFonts w:ascii="楷体_GB2312" w:hAnsi="楷体_GB2312" w:eastAsia="等线" w:cs="楷体_GB2312"/>
      <w:szCs w:val="24"/>
    </w:rPr>
  </w:style>
  <w:style w:type="paragraph" w:customStyle="1" w:styleId="583">
    <w:name w:val="Javis"/>
    <w:basedOn w:val="1"/>
    <w:qFormat/>
    <w:uiPriority w:val="0"/>
    <w:pPr>
      <w:ind w:right="210"/>
    </w:pPr>
    <w:rPr>
      <w:rFonts w:ascii="楷体_GB2312" w:hAnsi="楷体_GB2312" w:eastAsia="等线" w:cs="Verdana"/>
      <w:sz w:val="24"/>
    </w:rPr>
  </w:style>
  <w:style w:type="paragraph" w:customStyle="1" w:styleId="584">
    <w:name w:val="p0"/>
    <w:basedOn w:val="1"/>
    <w:qFormat/>
    <w:uiPriority w:val="0"/>
    <w:pPr>
      <w:widowControl/>
    </w:pPr>
    <w:rPr>
      <w:rFonts w:ascii="楷体_GB2312" w:hAnsi="楷体_GB2312" w:eastAsia="等线" w:cs="楷体_GB2312"/>
      <w:szCs w:val="21"/>
    </w:rPr>
  </w:style>
  <w:style w:type="paragraph" w:customStyle="1" w:styleId="585">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586">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587">
    <w:name w:val="_Style 85"/>
    <w:basedOn w:val="176"/>
    <w:next w:val="1"/>
    <w:qFormat/>
    <w:uiPriority w:val="99"/>
    <w:pPr>
      <w:tabs>
        <w:tab w:val="left" w:pos="1800"/>
      </w:tabs>
      <w:outlineLvl w:val="9"/>
    </w:pPr>
    <w:rPr>
      <w:rFonts w:ascii="等线" w:hAnsi="等线" w:eastAsia="Wingdings" w:cs="等线"/>
    </w:rPr>
  </w:style>
  <w:style w:type="paragraph" w:customStyle="1" w:styleId="588">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589">
    <w:name w:val="默认段落字体 Para Char Char Char1 Char"/>
    <w:basedOn w:val="1"/>
    <w:qFormat/>
    <w:uiPriority w:val="0"/>
    <w:pPr>
      <w:spacing w:line="360" w:lineRule="auto"/>
      <w:ind w:left="420" w:firstLine="420"/>
    </w:pPr>
    <w:rPr>
      <w:rFonts w:ascii="楷体_GB2312" w:hAnsi="楷体_GB2312" w:eastAsia="等线" w:cs="楷体_GB2312"/>
      <w:sz w:val="24"/>
      <w:szCs w:val="21"/>
    </w:rPr>
  </w:style>
  <w:style w:type="paragraph" w:customStyle="1" w:styleId="59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Verdana" w:hAnsi="Verdana" w:eastAsia="等线" w:cs="楷体_GB2312"/>
      <w:color w:val="000000"/>
      <w:sz w:val="24"/>
      <w:szCs w:val="24"/>
    </w:rPr>
  </w:style>
  <w:style w:type="paragraph" w:customStyle="1" w:styleId="59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Verdana" w:hAnsi="Verdana" w:eastAsia="等线" w:cs="楷体_GB2312"/>
      <w:color w:val="000000"/>
      <w:sz w:val="24"/>
      <w:szCs w:val="24"/>
    </w:rPr>
  </w:style>
  <w:style w:type="paragraph" w:customStyle="1" w:styleId="592">
    <w:name w:val="a2"/>
    <w:basedOn w:val="1"/>
    <w:qFormat/>
    <w:uiPriority w:val="0"/>
    <w:pPr>
      <w:widowControl/>
      <w:spacing w:before="100" w:beforeAutospacing="1" w:after="100" w:afterAutospacing="1"/>
      <w:jc w:val="left"/>
    </w:pPr>
    <w:rPr>
      <w:rFonts w:ascii="Verdana" w:hAnsi="Verdana" w:eastAsia="等线" w:cs="Verdana"/>
      <w:sz w:val="24"/>
      <w:szCs w:val="24"/>
    </w:rPr>
  </w:style>
  <w:style w:type="paragraph" w:customStyle="1" w:styleId="593">
    <w:name w:val="Char Char Char1 Char Char Char"/>
    <w:basedOn w:val="1"/>
    <w:qFormat/>
    <w:uiPriority w:val="0"/>
    <w:pPr>
      <w:ind w:firstLine="200"/>
    </w:pPr>
    <w:rPr>
      <w:rFonts w:ascii="文鼎CS中宋" w:hAnsi="文鼎CS中宋" w:eastAsia="等线" w:cs="楷体_GB2312"/>
      <w:sz w:val="24"/>
    </w:rPr>
  </w:style>
  <w:style w:type="paragraph" w:customStyle="1" w:styleId="594">
    <w:name w:val="ZDY正文"/>
    <w:basedOn w:val="1"/>
    <w:qFormat/>
    <w:uiPriority w:val="0"/>
    <w:pPr>
      <w:spacing w:line="360" w:lineRule="auto"/>
      <w:ind w:firstLine="200"/>
      <w:jc w:val="left"/>
    </w:pPr>
    <w:rPr>
      <w:rFonts w:ascii="Verdana" w:hAnsi="Verdana" w:eastAsia="等线" w:cs="楷体_GB2312"/>
      <w:sz w:val="24"/>
      <w:szCs w:val="24"/>
    </w:rPr>
  </w:style>
  <w:style w:type="paragraph" w:customStyle="1" w:styleId="595">
    <w:name w:val="项目符号1"/>
    <w:basedOn w:val="1"/>
    <w:qFormat/>
    <w:uiPriority w:val="0"/>
    <w:pPr>
      <w:tabs>
        <w:tab w:val="left" w:pos="570"/>
      </w:tabs>
      <w:ind w:left="570" w:hanging="420"/>
    </w:pPr>
    <w:rPr>
      <w:rFonts w:ascii="楷体_GB2312" w:hAnsi="楷体_GB2312" w:eastAsia="等线" w:cs="楷体_GB2312"/>
    </w:rPr>
  </w:style>
  <w:style w:type="paragraph" w:customStyle="1" w:styleId="59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Verdana" w:hAnsi="Verdana" w:eastAsia="等线" w:cs="楷体_GB2312"/>
      <w:b/>
      <w:bCs/>
      <w:sz w:val="20"/>
    </w:rPr>
  </w:style>
  <w:style w:type="paragraph" w:customStyle="1" w:styleId="597">
    <w:name w:val="并列项-点"/>
    <w:basedOn w:val="1"/>
    <w:qFormat/>
    <w:uiPriority w:val="0"/>
    <w:pPr>
      <w:widowControl/>
      <w:tabs>
        <w:tab w:val="left" w:pos="851"/>
        <w:tab w:val="left" w:pos="927"/>
      </w:tabs>
      <w:spacing w:before="120" w:line="360" w:lineRule="auto"/>
      <w:ind w:left="851" w:hanging="284"/>
    </w:pPr>
    <w:rPr>
      <w:rFonts w:ascii="楷体_GB2312" w:hAnsi="楷体_GB2312" w:eastAsia="等线" w:cs="楷体_GB2312"/>
      <w:sz w:val="24"/>
    </w:rPr>
  </w:style>
  <w:style w:type="paragraph" w:customStyle="1" w:styleId="598">
    <w:name w:val="函数注释1"/>
    <w:basedOn w:val="1"/>
    <w:qFormat/>
    <w:uiPriority w:val="0"/>
    <w:pPr>
      <w:spacing w:after="20" w:line="320" w:lineRule="exact"/>
      <w:ind w:left="1678" w:right="210" w:hanging="1049"/>
      <w:jc w:val="left"/>
    </w:pPr>
    <w:rPr>
      <w:rFonts w:ascii="楷体_GB2312" w:hAnsi="楷体_GB2312" w:eastAsia="等线" w:cs="楷体_GB2312"/>
    </w:rPr>
  </w:style>
  <w:style w:type="paragraph" w:customStyle="1" w:styleId="599">
    <w:name w:val="列表2"/>
    <w:basedOn w:val="1"/>
    <w:qFormat/>
    <w:uiPriority w:val="0"/>
    <w:pPr>
      <w:tabs>
        <w:tab w:val="left" w:pos="1470"/>
      </w:tabs>
      <w:spacing w:after="20" w:line="288" w:lineRule="auto"/>
      <w:ind w:left="1469" w:hanging="420"/>
    </w:pPr>
    <w:rPr>
      <w:rFonts w:ascii="楷体_GB2312" w:hAnsi="楷体_GB2312" w:eastAsia="等线" w:cs="楷体_GB2312"/>
      <w:szCs w:val="24"/>
    </w:rPr>
  </w:style>
  <w:style w:type="paragraph" w:customStyle="1" w:styleId="600">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0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Verdana" w:hAnsi="Verdana" w:eastAsia="等线" w:cs="楷体_GB2312"/>
      <w:color w:val="0000FF"/>
      <w:sz w:val="24"/>
      <w:szCs w:val="24"/>
    </w:rPr>
  </w:style>
  <w:style w:type="paragraph" w:customStyle="1" w:styleId="602">
    <w:name w:val="回信地址"/>
    <w:basedOn w:val="1"/>
    <w:qFormat/>
    <w:uiPriority w:val="0"/>
    <w:pPr>
      <w:keepLines/>
      <w:framePr w:w="2635" w:h="1138" w:wrap="notBeside" w:vAnchor="page" w:hAnchor="margin" w:xAlign="right" w:y="678"/>
      <w:widowControl/>
      <w:spacing w:after="20" w:line="200" w:lineRule="atLeast"/>
      <w:ind w:right="-120" w:firstLine="420"/>
      <w:jc w:val="left"/>
    </w:pPr>
    <w:rPr>
      <w:rFonts w:ascii="楷体_GB2312" w:hAnsi="楷体_GB2312" w:eastAsia="等线" w:cs="楷体_GB2312"/>
      <w:sz w:val="16"/>
    </w:rPr>
  </w:style>
  <w:style w:type="paragraph" w:customStyle="1" w:styleId="603">
    <w:name w:val="目录文字"/>
    <w:basedOn w:val="1"/>
    <w:qFormat/>
    <w:uiPriority w:val="0"/>
    <w:pPr>
      <w:widowControl/>
      <w:spacing w:line="480" w:lineRule="auto"/>
      <w:jc w:val="left"/>
    </w:pPr>
    <w:rPr>
      <w:rFonts w:ascii="Verdana" w:hAnsi="Verdana" w:eastAsia="等线" w:cs="楷体_GB2312"/>
      <w:sz w:val="24"/>
    </w:rPr>
  </w:style>
  <w:style w:type="paragraph" w:customStyle="1" w:styleId="60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Verdana" w:hAnsi="Verdana" w:eastAsia="等线" w:cs="楷体_GB2312"/>
      <w:b/>
      <w:bCs/>
      <w:sz w:val="20"/>
    </w:rPr>
  </w:style>
  <w:style w:type="paragraph" w:customStyle="1" w:styleId="605">
    <w:name w:val="标准文字"/>
    <w:basedOn w:val="1"/>
    <w:qFormat/>
    <w:uiPriority w:val="0"/>
    <w:pPr>
      <w:spacing w:after="20" w:line="360" w:lineRule="auto"/>
      <w:ind w:firstLine="420"/>
    </w:pPr>
    <w:rPr>
      <w:rFonts w:ascii="楷体_GB2312" w:hAnsi="楷体_GB2312" w:eastAsia="等线" w:cs="楷体_GB2312"/>
      <w:szCs w:val="24"/>
    </w:rPr>
  </w:style>
  <w:style w:type="paragraph" w:customStyle="1" w:styleId="606">
    <w:name w:val="正文1)"/>
    <w:basedOn w:val="1"/>
    <w:qFormat/>
    <w:uiPriority w:val="0"/>
    <w:pPr>
      <w:tabs>
        <w:tab w:val="left" w:pos="-120"/>
        <w:tab w:val="left" w:pos="0"/>
        <w:tab w:val="left" w:pos="120"/>
        <w:tab w:val="left" w:pos="425"/>
      </w:tabs>
      <w:spacing w:after="20" w:line="360" w:lineRule="auto"/>
      <w:ind w:left="425" w:hanging="425"/>
      <w:jc w:val="left"/>
    </w:pPr>
    <w:rPr>
      <w:rFonts w:ascii="Verdana" w:hAnsi="Calibri" w:eastAsia="等线" w:cs="楷体_GB2312"/>
      <w:smallCaps/>
      <w:spacing w:val="-20"/>
      <w:sz w:val="24"/>
    </w:rPr>
  </w:style>
  <w:style w:type="paragraph" w:customStyle="1" w:styleId="607">
    <w:name w:val="_Style 111"/>
    <w:qFormat/>
    <w:uiPriority w:val="99"/>
    <w:rPr>
      <w:rFonts w:hint="default" w:ascii="等线" w:hAnsi="等线" w:eastAsia="Wingdings" w:cs="等线"/>
      <w:sz w:val="21"/>
      <w:szCs w:val="24"/>
      <w:lang w:val="en-US" w:eastAsia="zh-CN" w:bidi="ar-SA"/>
    </w:rPr>
  </w:style>
  <w:style w:type="paragraph" w:customStyle="1" w:styleId="608">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09">
    <w:name w:val="CM41"/>
    <w:basedOn w:val="526"/>
    <w:next w:val="526"/>
    <w:qFormat/>
    <w:uiPriority w:val="99"/>
    <w:pPr>
      <w:spacing w:after="478"/>
    </w:pPr>
    <w:rPr>
      <w:rFonts w:ascii="Tahoma" w:hAnsi="楷体_GB2312" w:eastAsia="Tahoma" w:cs="Tahoma"/>
      <w:color w:val="000000"/>
    </w:rPr>
  </w:style>
  <w:style w:type="paragraph" w:customStyle="1" w:styleId="610">
    <w:name w:val="xl50"/>
    <w:basedOn w:val="1"/>
    <w:qFormat/>
    <w:uiPriority w:val="0"/>
    <w:pPr>
      <w:widowControl/>
      <w:spacing w:before="100" w:beforeAutospacing="1" w:after="100" w:afterAutospacing="1"/>
      <w:jc w:val="center"/>
    </w:pPr>
    <w:rPr>
      <w:rFonts w:ascii="Verdana" w:hAnsi="Verdana" w:eastAsia="等线" w:cs="楷体_GB2312"/>
      <w:b/>
      <w:bCs/>
      <w:sz w:val="40"/>
      <w:szCs w:val="40"/>
    </w:rPr>
  </w:style>
  <w:style w:type="paragraph" w:customStyle="1" w:styleId="611">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Verdana" w:hAnsi="Verdana" w:eastAsia="等线" w:cs="楷体_GB2312"/>
      <w:b/>
      <w:bCs/>
      <w:sz w:val="20"/>
    </w:rPr>
  </w:style>
  <w:style w:type="paragraph" w:customStyle="1" w:styleId="612">
    <w:name w:val="Char1"/>
    <w:basedOn w:val="1"/>
    <w:qFormat/>
    <w:uiPriority w:val="0"/>
    <w:rPr>
      <w:rFonts w:ascii="等线 Light" w:hAnsi="楷体_GB2312" w:eastAsia="等线 Light" w:cs="楷体_GB2312"/>
      <w:b/>
      <w:sz w:val="32"/>
      <w:szCs w:val="32"/>
    </w:rPr>
  </w:style>
  <w:style w:type="paragraph" w:customStyle="1" w:styleId="613">
    <w:name w:val="简介正文"/>
    <w:basedOn w:val="1"/>
    <w:qFormat/>
    <w:uiPriority w:val="0"/>
    <w:pPr>
      <w:numPr>
        <w:ilvl w:val="0"/>
        <w:numId w:val="21"/>
      </w:numPr>
      <w:tabs>
        <w:tab w:val="clear" w:pos="425"/>
      </w:tabs>
      <w:spacing w:after="20" w:line="520" w:lineRule="exact"/>
      <w:ind w:left="1701" w:hanging="1701"/>
    </w:pPr>
    <w:rPr>
      <w:rFonts w:ascii="楷体_GB2312" w:hAnsi="楷体_GB2312" w:eastAsia="等线" w:cs="楷体_GB2312"/>
      <w:sz w:val="24"/>
    </w:rPr>
  </w:style>
  <w:style w:type="paragraph" w:customStyle="1" w:styleId="614">
    <w:name w:val="表蕊"/>
    <w:basedOn w:val="1"/>
    <w:qFormat/>
    <w:uiPriority w:val="0"/>
    <w:pPr>
      <w:spacing w:line="320" w:lineRule="atLeast"/>
      <w:jc w:val="left"/>
    </w:pPr>
    <w:rPr>
      <w:rFonts w:ascii="楷体_GB2312" w:hAnsi="楷体_GB2312" w:cs="楷体_GB2312"/>
      <w:spacing w:val="-10"/>
    </w:rPr>
  </w:style>
  <w:style w:type="paragraph" w:customStyle="1" w:styleId="615">
    <w:name w:val="图形"/>
    <w:basedOn w:val="1"/>
    <w:qFormat/>
    <w:uiPriority w:val="0"/>
    <w:pPr>
      <w:spacing w:after="20" w:line="288" w:lineRule="auto"/>
      <w:ind w:firstLine="420"/>
      <w:jc w:val="center"/>
    </w:pPr>
    <w:rPr>
      <w:rFonts w:ascii="楷体_GB2312" w:hAnsi="楷体_GB2312" w:eastAsia="等线" w:cs="楷体_GB2312"/>
      <w:szCs w:val="24"/>
    </w:rPr>
  </w:style>
  <w:style w:type="paragraph" w:customStyle="1" w:styleId="616">
    <w:name w:val="表格标题"/>
    <w:basedOn w:val="1"/>
    <w:qFormat/>
    <w:uiPriority w:val="0"/>
    <w:pPr>
      <w:spacing w:before="120" w:line="400" w:lineRule="exact"/>
      <w:jc w:val="center"/>
    </w:pPr>
    <w:rPr>
      <w:rFonts w:ascii="楷体_GB2312" w:hAnsi="楷体_GB2312" w:eastAsia="仿宋_GB2312" w:cs="楷体_GB2312"/>
      <w:spacing w:val="8"/>
      <w:sz w:val="24"/>
    </w:rPr>
  </w:style>
  <w:style w:type="paragraph" w:customStyle="1" w:styleId="61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Verdana" w:hAnsi="Verdana" w:eastAsia="等线" w:cs="楷体_GB2312"/>
      <w:sz w:val="20"/>
    </w:rPr>
  </w:style>
  <w:style w:type="paragraph" w:customStyle="1" w:styleId="618">
    <w:name w:val="目录"/>
    <w:basedOn w:val="1"/>
    <w:next w:val="1"/>
    <w:qFormat/>
    <w:uiPriority w:val="0"/>
    <w:pPr>
      <w:spacing w:before="360" w:after="360" w:line="360" w:lineRule="auto"/>
      <w:ind w:firstLine="420"/>
      <w:jc w:val="center"/>
    </w:pPr>
    <w:rPr>
      <w:rFonts w:ascii="楷体_GB2312" w:hAnsi="楷体_GB2312" w:eastAsia="等线" w:cs="楷体_GB2312"/>
      <w:b/>
      <w:spacing w:val="200"/>
      <w:sz w:val="36"/>
    </w:rPr>
  </w:style>
  <w:style w:type="paragraph" w:customStyle="1" w:styleId="619">
    <w:name w:val="Char Char Char Char Char Char Char Char Char Char Char Char Char Char Char Char"/>
    <w:basedOn w:val="1"/>
    <w:qFormat/>
    <w:uiPriority w:val="0"/>
    <w:pPr>
      <w:tabs>
        <w:tab w:val="left" w:pos="360"/>
      </w:tabs>
    </w:pPr>
    <w:rPr>
      <w:rFonts w:ascii="楷体_GB2312" w:hAnsi="楷体_GB2312" w:eastAsia="等线" w:cs="楷体_GB2312"/>
      <w:sz w:val="24"/>
      <w:szCs w:val="24"/>
    </w:rPr>
  </w:style>
  <w:style w:type="paragraph" w:customStyle="1" w:styleId="620">
    <w:name w:val="正文2"/>
    <w:basedOn w:val="1"/>
    <w:qFormat/>
    <w:uiPriority w:val="0"/>
    <w:pPr>
      <w:widowControl/>
      <w:spacing w:after="160" w:line="360" w:lineRule="auto"/>
      <w:ind w:firstLine="200"/>
      <w:jc w:val="left"/>
    </w:pPr>
    <w:rPr>
      <w:rFonts w:ascii="黑体" w:hAnsi="黑体" w:eastAsia="隶书" w:cs="楷体_GB2312"/>
      <w:lang w:eastAsia="en-US"/>
    </w:rPr>
  </w:style>
  <w:style w:type="paragraph" w:customStyle="1" w:styleId="621">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color w:val="000000"/>
      <w:sz w:val="24"/>
      <w:szCs w:val="24"/>
    </w:rPr>
  </w:style>
  <w:style w:type="paragraph" w:customStyle="1" w:styleId="622">
    <w:name w:val="表头"/>
    <w:basedOn w:val="1"/>
    <w:qFormat/>
    <w:uiPriority w:val="0"/>
    <w:pPr>
      <w:spacing w:line="320" w:lineRule="atLeast"/>
      <w:jc w:val="center"/>
    </w:pPr>
    <w:rPr>
      <w:rFonts w:ascii="楷体_GB2312" w:hAnsi="楷体_GB2312" w:eastAsia="隶书" w:cs="楷体_GB2312"/>
      <w:spacing w:val="-10"/>
    </w:rPr>
  </w:style>
  <w:style w:type="paragraph" w:customStyle="1" w:styleId="623">
    <w:name w:val="Char Char Char Char Char Char Char Char Char Char"/>
    <w:basedOn w:val="1"/>
    <w:qFormat/>
    <w:uiPriority w:val="0"/>
    <w:pPr>
      <w:tabs>
        <w:tab w:val="left" w:pos="1620"/>
      </w:tabs>
      <w:ind w:left="1620" w:hanging="420"/>
    </w:pPr>
    <w:rPr>
      <w:rFonts w:ascii="楷体_GB2312" w:hAnsi="楷体_GB2312" w:eastAsia="等线" w:cs="楷体_GB2312"/>
      <w:sz w:val="24"/>
      <w:szCs w:val="24"/>
    </w:rPr>
  </w:style>
  <w:style w:type="paragraph" w:customStyle="1" w:styleId="624">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25">
    <w:name w:val="表格文字"/>
    <w:basedOn w:val="1"/>
    <w:qFormat/>
    <w:uiPriority w:val="0"/>
    <w:pPr>
      <w:spacing w:line="288" w:lineRule="auto"/>
      <w:jc w:val="left"/>
    </w:pPr>
    <w:rPr>
      <w:rFonts w:ascii="楷体_GB2312" w:hAnsi="楷体_GB2312" w:eastAsia="等线" w:cs="楷体_GB2312"/>
    </w:rPr>
  </w:style>
  <w:style w:type="paragraph" w:customStyle="1" w:styleId="626">
    <w:name w:val="Char Char Char Char Char Char Char Char Char Char11"/>
    <w:basedOn w:val="1"/>
    <w:qFormat/>
    <w:uiPriority w:val="99"/>
    <w:pPr>
      <w:tabs>
        <w:tab w:val="left" w:pos="360"/>
      </w:tabs>
    </w:pPr>
    <w:rPr>
      <w:rFonts w:ascii="楷体_GB2312" w:hAnsi="楷体_GB2312" w:eastAsia="等线" w:cs="楷体_GB2312"/>
      <w:szCs w:val="24"/>
    </w:rPr>
  </w:style>
  <w:style w:type="paragraph" w:customStyle="1" w:styleId="627">
    <w:name w:val="列出段落11"/>
    <w:basedOn w:val="1"/>
    <w:qFormat/>
    <w:uiPriority w:val="34"/>
    <w:pPr>
      <w:spacing w:before="120" w:after="120" w:line="360" w:lineRule="auto"/>
      <w:ind w:firstLine="420"/>
    </w:pPr>
    <w:rPr>
      <w:rFonts w:ascii="幼圆" w:hAnsi="幼圆" w:eastAsia="等线" w:cs="楷体_GB2312"/>
      <w:sz w:val="24"/>
      <w:szCs w:val="22"/>
    </w:rPr>
  </w:style>
  <w:style w:type="paragraph" w:customStyle="1" w:styleId="628">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Verdana" w:hAnsi="Verdana" w:eastAsia="等线" w:cs="楷体_GB2312"/>
      <w:sz w:val="24"/>
      <w:szCs w:val="24"/>
    </w:rPr>
  </w:style>
  <w:style w:type="paragraph" w:customStyle="1" w:styleId="62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sz w:val="20"/>
    </w:rPr>
  </w:style>
  <w:style w:type="paragraph" w:customStyle="1" w:styleId="630">
    <w:name w:val="样式一"/>
    <w:basedOn w:val="1"/>
    <w:qFormat/>
    <w:uiPriority w:val="0"/>
    <w:pPr>
      <w:tabs>
        <w:tab w:val="left" w:pos="1080"/>
      </w:tabs>
      <w:spacing w:before="100" w:after="100" w:line="360" w:lineRule="exact"/>
      <w:ind w:left="340" w:hanging="340"/>
    </w:pPr>
    <w:rPr>
      <w:rFonts w:ascii="Verdana" w:hAnsi="Verdana" w:eastAsia="隶书" w:cs="楷体_GB2312"/>
      <w:sz w:val="24"/>
      <w:lang w:val="en-GB"/>
    </w:rPr>
  </w:style>
  <w:style w:type="paragraph" w:customStyle="1" w:styleId="631">
    <w:name w:val="Char Char Char Char Char Char"/>
    <w:basedOn w:val="1"/>
    <w:qFormat/>
    <w:uiPriority w:val="0"/>
    <w:pPr>
      <w:widowControl/>
      <w:spacing w:after="160" w:line="240" w:lineRule="exact"/>
      <w:jc w:val="left"/>
    </w:pPr>
    <w:rPr>
      <w:rFonts w:ascii="隶书" w:hAnsi="黑体" w:eastAsia="隶书" w:cs="楷体_GB2312"/>
      <w:sz w:val="32"/>
      <w:szCs w:val="32"/>
    </w:rPr>
  </w:style>
  <w:style w:type="paragraph" w:customStyle="1" w:styleId="632">
    <w:name w:val="Char11"/>
    <w:basedOn w:val="1"/>
    <w:qFormat/>
    <w:uiPriority w:val="0"/>
    <w:rPr>
      <w:rFonts w:ascii="等线 Light" w:hAnsi="楷体_GB2312" w:eastAsia="等线 Light" w:cs="楷体_GB2312"/>
      <w:b/>
      <w:sz w:val="32"/>
      <w:szCs w:val="32"/>
    </w:rPr>
  </w:style>
  <w:style w:type="paragraph" w:customStyle="1" w:styleId="633">
    <w:name w:val="样式 纯文本 + 楷体_GB2312 小四 行距: 固定值 20 磅1"/>
    <w:basedOn w:val="225"/>
    <w:qFormat/>
    <w:uiPriority w:val="0"/>
    <w:pPr>
      <w:spacing w:line="400" w:lineRule="exact"/>
      <w:ind w:firstLine="200"/>
    </w:pPr>
    <w:rPr>
      <w:rFonts w:hAnsi="Yu Mincho Light"/>
      <w:sz w:val="24"/>
    </w:rPr>
  </w:style>
  <w:style w:type="paragraph" w:customStyle="1" w:styleId="634">
    <w:name w:val="Char Char Char Char1"/>
    <w:basedOn w:val="1"/>
    <w:qFormat/>
    <w:uiPriority w:val="99"/>
    <w:rPr>
      <w:rFonts w:ascii="文鼎CS中宋" w:hAnsi="文鼎CS中宋" w:eastAsia="等线" w:cs="楷体_GB2312"/>
      <w:sz w:val="24"/>
    </w:rPr>
  </w:style>
  <w:style w:type="paragraph" w:customStyle="1" w:styleId="635">
    <w:name w:val="表格正文"/>
    <w:basedOn w:val="1"/>
    <w:link w:val="636"/>
    <w:qFormat/>
    <w:uiPriority w:val="0"/>
    <w:rPr>
      <w:rFonts w:ascii="楷体_GB2312" w:hAnsi="楷体_GB2312" w:eastAsia="等线"/>
      <w:szCs w:val="24"/>
    </w:rPr>
  </w:style>
  <w:style w:type="character" w:customStyle="1" w:styleId="636">
    <w:name w:val="表格正文 Char"/>
    <w:link w:val="635"/>
    <w:qFormat/>
    <w:uiPriority w:val="0"/>
    <w:rPr>
      <w:rFonts w:ascii="楷体_GB2312" w:hAnsi="楷体_GB2312" w:eastAsia="等线"/>
      <w:sz w:val="21"/>
      <w:szCs w:val="24"/>
    </w:rPr>
  </w:style>
  <w:style w:type="paragraph" w:customStyle="1" w:styleId="637">
    <w:name w:val="程序代码"/>
    <w:basedOn w:val="1"/>
    <w:qFormat/>
    <w:uiPriority w:val="0"/>
    <w:pPr>
      <w:spacing w:after="20" w:line="288" w:lineRule="auto"/>
      <w:ind w:left="839" w:firstLine="420"/>
    </w:pPr>
    <w:rPr>
      <w:rFonts w:ascii="楷体_GB2312" w:hAnsi="楷体_GB2312" w:eastAsia="等线 Light" w:cs="楷体_GB2312"/>
      <w:szCs w:val="24"/>
    </w:rPr>
  </w:style>
  <w:style w:type="paragraph" w:customStyle="1" w:styleId="638">
    <w:name w:val="重点"/>
    <w:basedOn w:val="1"/>
    <w:qFormat/>
    <w:uiPriority w:val="0"/>
    <w:pPr>
      <w:shd w:val="pct10" w:color="auto" w:fill="auto"/>
      <w:spacing w:after="20" w:line="288" w:lineRule="auto"/>
      <w:ind w:firstLine="420"/>
    </w:pPr>
    <w:rPr>
      <w:rFonts w:ascii="楷体_GB2312" w:hAnsi="楷体_GB2312" w:eastAsia="隶书" w:cs="楷体_GB2312"/>
      <w:b/>
      <w:szCs w:val="24"/>
    </w:rPr>
  </w:style>
  <w:style w:type="paragraph" w:customStyle="1" w:styleId="639">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Verdana" w:hAnsi="Verdana" w:eastAsia="等线" w:cs="楷体_GB2312"/>
      <w:b/>
      <w:bCs/>
      <w:sz w:val="20"/>
    </w:rPr>
  </w:style>
  <w:style w:type="paragraph" w:customStyle="1" w:styleId="640">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41">
    <w:name w:val="Default Paragraph Font Para Char"/>
    <w:basedOn w:val="1"/>
    <w:qFormat/>
    <w:uiPriority w:val="0"/>
    <w:pPr>
      <w:widowControl/>
      <w:spacing w:after="160" w:line="240" w:lineRule="exact"/>
      <w:jc w:val="left"/>
    </w:pPr>
    <w:rPr>
      <w:rFonts w:ascii="楷体_GB2312" w:hAnsi="楷体_GB2312" w:eastAsia="等线" w:cs="楷体_GB2312"/>
      <w:szCs w:val="24"/>
    </w:rPr>
  </w:style>
  <w:style w:type="paragraph" w:customStyle="1" w:styleId="642">
    <w:name w:val="正文(缩进)"/>
    <w:basedOn w:val="1"/>
    <w:qFormat/>
    <w:uiPriority w:val="0"/>
    <w:pPr>
      <w:widowControl/>
      <w:spacing w:line="360" w:lineRule="auto"/>
      <w:ind w:firstLine="200"/>
    </w:pPr>
    <w:rPr>
      <w:rFonts w:ascii="楷体_GB2312" w:hAnsi="楷体_GB2312" w:eastAsia="等线 Light" w:cs="楷体_GB2312"/>
      <w:sz w:val="24"/>
    </w:rPr>
  </w:style>
  <w:style w:type="paragraph" w:customStyle="1" w:styleId="643">
    <w:name w:val="xl51"/>
    <w:basedOn w:val="1"/>
    <w:qFormat/>
    <w:uiPriority w:val="0"/>
    <w:pPr>
      <w:widowControl/>
      <w:pBdr>
        <w:bottom w:val="single" w:color="000000" w:sz="4" w:space="0"/>
      </w:pBdr>
      <w:spacing w:before="100" w:beforeAutospacing="1" w:after="100" w:afterAutospacing="1"/>
      <w:jc w:val="left"/>
    </w:pPr>
    <w:rPr>
      <w:rFonts w:hint="eastAsia" w:ascii="宋体" w:hAnsi="Verdana" w:cs="楷体_GB2312"/>
      <w:b/>
      <w:bCs/>
      <w:color w:val="000000"/>
      <w:sz w:val="24"/>
      <w:szCs w:val="24"/>
    </w:rPr>
  </w:style>
  <w:style w:type="paragraph" w:customStyle="1" w:styleId="64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Verdana" w:hAnsi="Verdana" w:eastAsia="等线" w:cs="楷体_GB2312"/>
      <w:sz w:val="20"/>
    </w:rPr>
  </w:style>
  <w:style w:type="paragraph" w:customStyle="1" w:styleId="645">
    <w:name w:val="名词解释"/>
    <w:basedOn w:val="1"/>
    <w:qFormat/>
    <w:uiPriority w:val="0"/>
    <w:pPr>
      <w:spacing w:after="20" w:line="288" w:lineRule="auto"/>
      <w:ind w:left="2325" w:hanging="2325"/>
    </w:pPr>
    <w:rPr>
      <w:rFonts w:ascii="楷体_GB2312" w:hAnsi="楷体_GB2312" w:eastAsia="等线" w:cs="楷体_GB2312"/>
    </w:rPr>
  </w:style>
  <w:style w:type="paragraph" w:customStyle="1" w:styleId="646">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4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Verdana" w:hAnsi="Verdana" w:eastAsia="等线" w:cs="楷体_GB2312"/>
      <w:b/>
      <w:sz w:val="30"/>
    </w:rPr>
  </w:style>
  <w:style w:type="paragraph" w:customStyle="1" w:styleId="648">
    <w:name w:val="菲页2"/>
    <w:basedOn w:val="178"/>
    <w:qFormat/>
    <w:uiPriority w:val="0"/>
    <w:pPr>
      <w:numPr>
        <w:ilvl w:val="0"/>
        <w:numId w:val="0"/>
      </w:numPr>
      <w:tabs>
        <w:tab w:val="clear" w:pos="720"/>
      </w:tabs>
      <w:ind w:left="6233" w:hanging="420"/>
    </w:pPr>
    <w:rPr>
      <w:rFonts w:ascii="隶书" w:hAnsi="Verdana" w:eastAsia="隶书"/>
      <w:b w:val="0"/>
      <w:sz w:val="44"/>
    </w:rPr>
  </w:style>
  <w:style w:type="paragraph" w:customStyle="1" w:styleId="649">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楷体_GB2312" w:hAnsi="楷体_GB2312" w:eastAsia="等线 Light" w:cs="楷体_GB2312"/>
      <w:sz w:val="18"/>
    </w:rPr>
  </w:style>
  <w:style w:type="paragraph" w:customStyle="1" w:styleId="650">
    <w:name w:val="font0"/>
    <w:basedOn w:val="1"/>
    <w:qFormat/>
    <w:uiPriority w:val="0"/>
    <w:pPr>
      <w:widowControl/>
      <w:spacing w:before="100" w:beforeAutospacing="1" w:after="100" w:afterAutospacing="1"/>
      <w:jc w:val="left"/>
    </w:pPr>
    <w:rPr>
      <w:rFonts w:hint="eastAsia" w:ascii="Verdana" w:hAnsi="Verdana" w:eastAsia="等线" w:cs="楷体_GB2312"/>
      <w:sz w:val="18"/>
      <w:szCs w:val="18"/>
    </w:rPr>
  </w:style>
  <w:style w:type="paragraph" w:customStyle="1" w:styleId="651">
    <w:name w:val="CM4"/>
    <w:basedOn w:val="526"/>
    <w:next w:val="526"/>
    <w:qFormat/>
    <w:uiPriority w:val="99"/>
    <w:pPr>
      <w:spacing w:line="468" w:lineRule="atLeast"/>
    </w:pPr>
    <w:rPr>
      <w:rFonts w:ascii="Tahoma" w:hAnsi="楷体_GB2312" w:eastAsia="Tahoma" w:cs="Tahoma"/>
      <w:color w:val="000000"/>
    </w:rPr>
  </w:style>
  <w:style w:type="paragraph" w:customStyle="1" w:styleId="652">
    <w:name w:val="名词解释11"/>
    <w:basedOn w:val="645"/>
    <w:qFormat/>
    <w:uiPriority w:val="0"/>
    <w:pPr>
      <w:spacing w:after="0"/>
      <w:ind w:firstLine="0"/>
    </w:pPr>
  </w:style>
  <w:style w:type="paragraph" w:customStyle="1" w:styleId="653">
    <w:name w:val="无间隔1"/>
    <w:qFormat/>
    <w:uiPriority w:val="1"/>
    <w:pPr>
      <w:widowControl w:val="0"/>
      <w:jc w:val="both"/>
    </w:pPr>
    <w:rPr>
      <w:rFonts w:hint="default" w:ascii="幼圆" w:hAnsi="幼圆" w:eastAsia="等线" w:cs="楷体_GB2312"/>
      <w:sz w:val="21"/>
      <w:szCs w:val="22"/>
      <w:lang w:val="en-US" w:eastAsia="zh-CN" w:bidi="ar-SA"/>
    </w:rPr>
  </w:style>
  <w:style w:type="paragraph" w:customStyle="1" w:styleId="654">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5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sz w:val="24"/>
      <w:szCs w:val="24"/>
    </w:rPr>
  </w:style>
  <w:style w:type="paragraph" w:customStyle="1" w:styleId="656">
    <w:name w:val="菲页1"/>
    <w:basedOn w:val="177"/>
    <w:qFormat/>
    <w:uiPriority w:val="0"/>
    <w:pPr>
      <w:widowControl/>
      <w:tabs>
        <w:tab w:val="left" w:pos="567"/>
        <w:tab w:val="left" w:pos="1800"/>
      </w:tabs>
      <w:jc w:val="center"/>
    </w:pPr>
    <w:rPr>
      <w:rFonts w:ascii="隶书" w:hAnsi="Verdana" w:eastAsia="隶书" w:cs="Times New Roman"/>
      <w:b w:val="0"/>
      <w:bCs w:val="0"/>
      <w:sz w:val="52"/>
      <w:szCs w:val="20"/>
    </w:rPr>
  </w:style>
  <w:style w:type="paragraph" w:customStyle="1" w:styleId="657">
    <w:name w:val="Char Char Char Char Char Char Char Char Char Char1"/>
    <w:basedOn w:val="1"/>
    <w:qFormat/>
    <w:uiPriority w:val="0"/>
    <w:pPr>
      <w:tabs>
        <w:tab w:val="left" w:pos="425"/>
      </w:tabs>
      <w:ind w:left="425" w:hanging="425"/>
    </w:pPr>
    <w:rPr>
      <w:rFonts w:ascii="楷体_GB2312" w:hAnsi="楷体_GB2312" w:eastAsia="等线" w:cs="楷体_GB2312"/>
      <w:sz w:val="28"/>
    </w:rPr>
  </w:style>
  <w:style w:type="paragraph" w:customStyle="1" w:styleId="658">
    <w:name w:val="Char2"/>
    <w:basedOn w:val="1"/>
    <w:qFormat/>
    <w:uiPriority w:val="0"/>
    <w:pPr>
      <w:spacing w:line="360" w:lineRule="auto"/>
      <w:ind w:firstLine="200"/>
    </w:pPr>
    <w:rPr>
      <w:rFonts w:ascii="Verdana" w:hAnsi="Verdana" w:eastAsia="等线" w:cs="Verdana"/>
      <w:sz w:val="24"/>
      <w:szCs w:val="24"/>
    </w:rPr>
  </w:style>
  <w:style w:type="paragraph" w:customStyle="1" w:styleId="659">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Verdana" w:hAnsi="Verdana" w:eastAsia="等线" w:cs="楷体_GB2312"/>
      <w:sz w:val="24"/>
      <w:szCs w:val="24"/>
    </w:rPr>
  </w:style>
  <w:style w:type="paragraph" w:customStyle="1" w:styleId="660">
    <w:name w:val="xl49"/>
    <w:basedOn w:val="1"/>
    <w:qFormat/>
    <w:uiPriority w:val="0"/>
    <w:pPr>
      <w:widowControl/>
      <w:spacing w:before="100" w:beforeAutospacing="1" w:after="100" w:afterAutospacing="1"/>
      <w:jc w:val="center"/>
    </w:pPr>
    <w:rPr>
      <w:rFonts w:ascii="Verdana" w:hAnsi="Verdana" w:eastAsia="等线" w:cs="楷体_GB2312"/>
      <w:b/>
      <w:bCs/>
      <w:color w:val="000000"/>
      <w:sz w:val="40"/>
      <w:szCs w:val="40"/>
    </w:rPr>
  </w:style>
  <w:style w:type="paragraph" w:customStyle="1" w:styleId="661">
    <w:name w:val="xl52"/>
    <w:basedOn w:val="1"/>
    <w:qFormat/>
    <w:uiPriority w:val="0"/>
    <w:pPr>
      <w:widowControl/>
      <w:pBdr>
        <w:bottom w:val="single" w:color="000000" w:sz="4" w:space="0"/>
      </w:pBdr>
      <w:spacing w:before="100" w:beforeAutospacing="1" w:after="100" w:afterAutospacing="1"/>
      <w:jc w:val="left"/>
    </w:pPr>
    <w:rPr>
      <w:rFonts w:hint="eastAsia" w:ascii="宋体" w:hAnsi="Verdana" w:cs="楷体_GB2312"/>
      <w:b/>
      <w:bCs/>
      <w:sz w:val="24"/>
      <w:szCs w:val="24"/>
    </w:rPr>
  </w:style>
  <w:style w:type="paragraph" w:customStyle="1" w:styleId="662">
    <w:name w:val="yyn"/>
    <w:basedOn w:val="1"/>
    <w:qFormat/>
    <w:uiPriority w:val="0"/>
    <w:pPr>
      <w:keepNext/>
      <w:widowControl/>
      <w:spacing w:line="360" w:lineRule="auto"/>
      <w:ind w:right="562" w:firstLine="576"/>
    </w:pPr>
    <w:rPr>
      <w:rFonts w:ascii="Verdana" w:hAnsi="楷体_GB2312" w:eastAsia="等线" w:cs="楷体_GB2312"/>
      <w:sz w:val="28"/>
    </w:rPr>
  </w:style>
  <w:style w:type="paragraph" w:customStyle="1" w:styleId="663">
    <w:name w:val="列表_名词"/>
    <w:basedOn w:val="652"/>
    <w:qFormat/>
    <w:uiPriority w:val="0"/>
    <w:pPr>
      <w:tabs>
        <w:tab w:val="left" w:pos="2745"/>
      </w:tabs>
      <w:ind w:left="2745" w:hanging="420"/>
    </w:pPr>
  </w:style>
  <w:style w:type="paragraph" w:customStyle="1" w:styleId="664">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Verdana" w:hAnsi="Verdana" w:eastAsia="等线" w:cs="楷体_GB2312"/>
      <w:color w:val="000000"/>
      <w:sz w:val="24"/>
      <w:szCs w:val="24"/>
    </w:rPr>
  </w:style>
  <w:style w:type="paragraph" w:customStyle="1" w:styleId="665">
    <w:name w:val="标题0"/>
    <w:basedOn w:val="268"/>
    <w:next w:val="268"/>
    <w:qFormat/>
    <w:uiPriority w:val="0"/>
    <w:pPr>
      <w:spacing w:before="240" w:after="60" w:line="288" w:lineRule="auto"/>
      <w:ind w:firstLine="420"/>
    </w:pPr>
    <w:rPr>
      <w:rFonts w:ascii="Calibri" w:hAnsi="Calibri" w:eastAsia="等线"/>
      <w:sz w:val="52"/>
    </w:rPr>
  </w:style>
  <w:style w:type="paragraph" w:customStyle="1" w:styleId="666">
    <w:name w:val="_Style 180"/>
    <w:next w:val="1"/>
    <w:qFormat/>
    <w:uiPriority w:val="99"/>
    <w:pPr>
      <w:widowControl w:val="0"/>
      <w:jc w:val="both"/>
    </w:pPr>
    <w:rPr>
      <w:rFonts w:hint="default" w:ascii="楷体_GB2312" w:hAnsi="楷体_GB2312" w:eastAsia="等线" w:cs="楷体_GB2312"/>
      <w:sz w:val="21"/>
      <w:szCs w:val="24"/>
      <w:lang w:val="en-US" w:eastAsia="zh-CN" w:bidi="ar-SA"/>
    </w:rPr>
  </w:style>
  <w:style w:type="paragraph" w:customStyle="1" w:styleId="667">
    <w:name w:val="标题_0"/>
    <w:basedOn w:val="668"/>
    <w:qFormat/>
    <w:uiPriority w:val="0"/>
    <w:pPr>
      <w:spacing w:before="120" w:after="120" w:line="360" w:lineRule="auto"/>
      <w:jc w:val="center"/>
      <w:outlineLvl w:val="0"/>
    </w:pPr>
    <w:rPr>
      <w:rFonts w:ascii="隶书" w:hAnsi="Calibri" w:eastAsia="隶书"/>
      <w:b/>
      <w:bCs/>
      <w:sz w:val="32"/>
      <w:szCs w:val="32"/>
    </w:rPr>
  </w:style>
  <w:style w:type="paragraph" w:customStyle="1" w:styleId="668">
    <w:name w:val="正文_1"/>
    <w:qFormat/>
    <w:uiPriority w:val="99"/>
    <w:rPr>
      <w:rFonts w:hint="default" w:ascii="楷体_GB2312" w:hAnsi="楷体_GB2312" w:eastAsia="等线" w:cs="楷体_GB2312"/>
      <w:sz w:val="21"/>
      <w:szCs w:val="22"/>
      <w:lang w:val="en-US" w:eastAsia="zh-CN" w:bidi="ar-SA"/>
    </w:rPr>
  </w:style>
  <w:style w:type="paragraph" w:customStyle="1" w:styleId="669">
    <w:name w:val="标题 3_0"/>
    <w:basedOn w:val="670"/>
    <w:next w:val="670"/>
    <w:qFormat/>
    <w:uiPriority w:val="99"/>
    <w:pPr>
      <w:keepNext/>
      <w:keepLines/>
      <w:spacing w:before="260" w:after="260" w:line="413" w:lineRule="auto"/>
      <w:outlineLvl w:val="2"/>
    </w:pPr>
    <w:rPr>
      <w:rFonts w:ascii="楷体_GB2312" w:hAnsi="楷体_GB2312"/>
      <w:b/>
      <w:bCs/>
      <w:sz w:val="32"/>
      <w:szCs w:val="32"/>
    </w:rPr>
  </w:style>
  <w:style w:type="paragraph" w:customStyle="1" w:styleId="670">
    <w:name w:val="正文_0"/>
    <w:qFormat/>
    <w:uiPriority w:val="0"/>
    <w:pPr>
      <w:widowControl w:val="0"/>
      <w:jc w:val="both"/>
    </w:pPr>
    <w:rPr>
      <w:rFonts w:hint="default" w:ascii="幼圆" w:hAnsi="幼圆" w:eastAsia="等线" w:cs="楷体_GB2312"/>
      <w:sz w:val="21"/>
      <w:szCs w:val="22"/>
      <w:lang w:val="en-US" w:eastAsia="zh-CN" w:bidi="ar-SA"/>
    </w:rPr>
  </w:style>
  <w:style w:type="paragraph" w:customStyle="1" w:styleId="671">
    <w:name w:val="正文缩进_0"/>
    <w:basedOn w:val="668"/>
    <w:qFormat/>
    <w:uiPriority w:val="99"/>
    <w:pPr>
      <w:widowControl w:val="0"/>
      <w:ind w:firstLine="420"/>
      <w:jc w:val="both"/>
    </w:pPr>
    <w:rPr>
      <w:u w:val="single"/>
    </w:rPr>
  </w:style>
  <w:style w:type="paragraph" w:customStyle="1" w:styleId="672">
    <w:name w:val="标题 4_0"/>
    <w:basedOn w:val="670"/>
    <w:next w:val="670"/>
    <w:qFormat/>
    <w:uiPriority w:val="99"/>
    <w:pPr>
      <w:keepNext/>
      <w:keepLines/>
      <w:spacing w:before="280" w:after="290" w:line="372" w:lineRule="auto"/>
      <w:outlineLvl w:val="3"/>
    </w:pPr>
    <w:rPr>
      <w:rFonts w:ascii="等线" w:hAnsi="等线"/>
      <w:b/>
      <w:bCs/>
      <w:sz w:val="28"/>
      <w:szCs w:val="28"/>
    </w:rPr>
  </w:style>
  <w:style w:type="paragraph" w:customStyle="1" w:styleId="673">
    <w:name w:val="reader-word-layer"/>
    <w:basedOn w:val="1"/>
    <w:qFormat/>
    <w:uiPriority w:val="99"/>
    <w:pPr>
      <w:widowControl/>
      <w:spacing w:before="100" w:beforeAutospacing="1" w:after="100" w:afterAutospacing="1"/>
      <w:jc w:val="left"/>
    </w:pPr>
    <w:rPr>
      <w:rFonts w:ascii="Verdana" w:hAnsi="Verdana" w:eastAsia="等线" w:cs="Verdana"/>
      <w:sz w:val="24"/>
      <w:szCs w:val="24"/>
    </w:rPr>
  </w:style>
  <w:style w:type="paragraph" w:customStyle="1" w:styleId="674">
    <w:name w:val="正文文本_0"/>
    <w:basedOn w:val="670"/>
    <w:qFormat/>
    <w:uiPriority w:val="99"/>
    <w:pPr>
      <w:spacing w:after="60" w:line="360" w:lineRule="atLeast"/>
      <w:ind w:left="72" w:right="30"/>
      <w:jc w:val="center"/>
    </w:pPr>
    <w:rPr>
      <w:rFonts w:ascii="楷体_GB2312" w:hAnsi="楷体_GB2312"/>
      <w:sz w:val="20"/>
      <w:szCs w:val="20"/>
    </w:rPr>
  </w:style>
  <w:style w:type="paragraph" w:customStyle="1" w:styleId="675">
    <w:name w:val="_Style 37"/>
    <w:basedOn w:val="1"/>
    <w:next w:val="1"/>
    <w:qFormat/>
    <w:uiPriority w:val="99"/>
    <w:rPr>
      <w:rFonts w:ascii="楷体_GB2312" w:hAnsi="楷体_GB2312" w:eastAsia="等线" w:cs="楷体_GB2312"/>
      <w:szCs w:val="24"/>
    </w:rPr>
  </w:style>
  <w:style w:type="paragraph" w:customStyle="1" w:styleId="676">
    <w:name w:val="2-2ji"/>
    <w:basedOn w:val="177"/>
    <w:qFormat/>
    <w:uiPriority w:val="99"/>
    <w:pPr>
      <w:tabs>
        <w:tab w:val="left" w:pos="1800"/>
      </w:tabs>
      <w:spacing w:before="0" w:after="0" w:line="360" w:lineRule="auto"/>
      <w:jc w:val="center"/>
    </w:pPr>
    <w:rPr>
      <w:rFonts w:ascii="Verdana" w:hAnsi="Verdana" w:eastAsia="Verdana" w:cs="Times New Roman"/>
      <w:sz w:val="36"/>
      <w:szCs w:val="24"/>
    </w:rPr>
  </w:style>
  <w:style w:type="paragraph" w:customStyle="1" w:styleId="677">
    <w:name w:val="TOC 标题_0"/>
    <w:basedOn w:val="678"/>
    <w:next w:val="670"/>
    <w:qFormat/>
    <w:uiPriority w:val="0"/>
    <w:pPr>
      <w:outlineLvl w:val="9"/>
    </w:pPr>
    <w:rPr>
      <w:rFonts w:ascii="幼圆" w:hAnsi="幼圆"/>
    </w:rPr>
  </w:style>
  <w:style w:type="paragraph" w:customStyle="1" w:styleId="678">
    <w:name w:val="标题 1_0"/>
    <w:basedOn w:val="670"/>
    <w:next w:val="670"/>
    <w:qFormat/>
    <w:uiPriority w:val="99"/>
    <w:pPr>
      <w:keepNext/>
      <w:keepLines/>
      <w:spacing w:before="340" w:after="330" w:line="576" w:lineRule="auto"/>
      <w:outlineLvl w:val="0"/>
    </w:pPr>
    <w:rPr>
      <w:rFonts w:ascii="楷体_GB2312" w:hAnsi="楷体_GB2312"/>
      <w:b/>
      <w:bCs/>
      <w:sz w:val="44"/>
      <w:szCs w:val="44"/>
    </w:rPr>
  </w:style>
  <w:style w:type="paragraph" w:customStyle="1" w:styleId="679">
    <w:name w:val="样式"/>
    <w:link w:val="680"/>
    <w:qFormat/>
    <w:uiPriority w:val="0"/>
    <w:pPr>
      <w:widowControl w:val="0"/>
    </w:pPr>
    <w:rPr>
      <w:rFonts w:hint="default" w:ascii="Verdana" w:hAnsi="Verdana" w:eastAsia="等线" w:cs="Verdana"/>
      <w:sz w:val="24"/>
      <w:szCs w:val="24"/>
      <w:lang w:val="en-US" w:eastAsia="zh-CN" w:bidi="ar-SA"/>
    </w:rPr>
  </w:style>
  <w:style w:type="character" w:customStyle="1" w:styleId="680">
    <w:name w:val="样式 Char"/>
    <w:link w:val="679"/>
    <w:qFormat/>
    <w:uiPriority w:val="0"/>
    <w:rPr>
      <w:rFonts w:ascii="Verdana" w:hAnsi="Verdana" w:eastAsia="等线" w:cs="Verdana"/>
      <w:sz w:val="24"/>
      <w:szCs w:val="24"/>
    </w:rPr>
  </w:style>
  <w:style w:type="paragraph" w:customStyle="1" w:styleId="681">
    <w:name w:val="msonormal"/>
    <w:basedOn w:val="1"/>
    <w:qFormat/>
    <w:uiPriority w:val="99"/>
    <w:pPr>
      <w:widowControl/>
      <w:spacing w:before="100" w:beforeAutospacing="1" w:after="100" w:afterAutospacing="1" w:line="288" w:lineRule="auto"/>
      <w:ind w:firstLine="420"/>
      <w:jc w:val="left"/>
    </w:pPr>
    <w:rPr>
      <w:rFonts w:ascii="宋体" w:hAnsi="宋体"/>
      <w:sz w:val="24"/>
      <w:szCs w:val="24"/>
    </w:rPr>
  </w:style>
  <w:style w:type="paragraph" w:customStyle="1" w:styleId="682">
    <w:name w:val="正文11"/>
    <w:qFormat/>
    <w:uiPriority w:val="99"/>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683">
    <w:name w:val="列表段落1"/>
    <w:basedOn w:val="1"/>
    <w:qFormat/>
    <w:uiPriority w:val="34"/>
    <w:pPr>
      <w:ind w:firstLine="420"/>
    </w:pPr>
    <w:rPr>
      <w:rFonts w:ascii="Calibri" w:hAnsi="Calibri"/>
      <w:szCs w:val="22"/>
    </w:rPr>
  </w:style>
  <w:style w:type="paragraph" w:customStyle="1" w:styleId="684">
    <w:name w:val="_Style 1801"/>
    <w:next w:val="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685">
    <w:name w:val="Char Char Char Char Char Char Char Char Char Char12"/>
    <w:basedOn w:val="1"/>
    <w:qFormat/>
    <w:uiPriority w:val="99"/>
    <w:pPr>
      <w:tabs>
        <w:tab w:val="left" w:pos="425"/>
      </w:tabs>
      <w:ind w:left="425" w:hanging="425"/>
    </w:pPr>
    <w:rPr>
      <w:sz w:val="28"/>
    </w:rPr>
  </w:style>
  <w:style w:type="character" w:customStyle="1" w:styleId="686">
    <w:name w:val="Char Char1"/>
    <w:link w:val="1"/>
    <w:qFormat/>
    <w:uiPriority w:val="0"/>
    <w:rPr>
      <w:rFonts w:ascii="Times New Roman PSMT" w:hAnsi="文鼎CS中宋" w:eastAsia="Times New Roman PSMT" w:cs="文鼎CS中宋"/>
      <w:b/>
      <w:bCs/>
      <w:sz w:val="32"/>
      <w:szCs w:val="32"/>
      <w:lang w:val="en-US" w:eastAsia="zh-CN" w:bidi="ar-SA"/>
    </w:rPr>
  </w:style>
  <w:style w:type="character" w:customStyle="1" w:styleId="687">
    <w:name w:val="_Style 214"/>
    <w:link w:val="1"/>
    <w:qFormat/>
    <w:uiPriority w:val="0"/>
    <w:rPr>
      <w:i/>
      <w:iCs/>
      <w:color w:val="808080"/>
    </w:rPr>
  </w:style>
  <w:style w:type="character" w:customStyle="1" w:styleId="688">
    <w:name w:val="Char Char2"/>
    <w:link w:val="1"/>
    <w:semiHidden/>
    <w:qFormat/>
    <w:uiPriority w:val="0"/>
    <w:rPr>
      <w:rFonts w:eastAsia="Wingdings"/>
      <w:sz w:val="21"/>
      <w:szCs w:val="24"/>
      <w:lang w:val="en-US" w:eastAsia="zh-CN" w:bidi="ar-SA"/>
    </w:rPr>
  </w:style>
  <w:style w:type="character" w:customStyle="1" w:styleId="689">
    <w:name w:val="chword"/>
    <w:link w:val="1"/>
    <w:qFormat/>
    <w:uiPriority w:val="0"/>
  </w:style>
  <w:style w:type="character" w:customStyle="1" w:styleId="690">
    <w:name w:val="Char Char3"/>
    <w:link w:val="1"/>
    <w:qFormat/>
    <w:uiPriority w:val="0"/>
    <w:rPr>
      <w:rFonts w:ascii="Times New Roman PSMT" w:hAnsi="Wingdings" w:eastAsia="Times New Roman PSMT" w:cs="文鼎CS中宋"/>
      <w:b/>
      <w:bCs/>
      <w:sz w:val="24"/>
      <w:szCs w:val="24"/>
      <w:lang w:val="en-US" w:eastAsia="zh-CN" w:bidi="ar-SA"/>
    </w:rPr>
  </w:style>
  <w:style w:type="character" w:customStyle="1" w:styleId="691">
    <w:name w:val="标题 311"/>
    <w:link w:val="1"/>
    <w:qFormat/>
    <w:uiPriority w:val="0"/>
    <w:rPr>
      <w:rFonts w:hint="eastAsia" w:ascii="隶书" w:hAnsi="Cambria Math" w:eastAsia="隶书"/>
      <w:sz w:val="28"/>
    </w:rPr>
  </w:style>
  <w:style w:type="character" w:customStyle="1" w:styleId="692">
    <w:name w:val="Char Char4"/>
    <w:link w:val="1"/>
    <w:qFormat/>
    <w:uiPriority w:val="0"/>
    <w:rPr>
      <w:rFonts w:ascii="Wingdings" w:hAnsi="Wingdings" w:eastAsia="Times New Roman PSMT" w:cs="文鼎CS中宋"/>
      <w:b/>
      <w:sz w:val="28"/>
      <w:szCs w:val="32"/>
      <w:lang w:val="en-US" w:eastAsia="zh-CN" w:bidi="ar-SA"/>
    </w:rPr>
  </w:style>
  <w:style w:type="character" w:customStyle="1" w:styleId="693">
    <w:name w:val="脚注文本 Char1"/>
    <w:link w:val="1"/>
    <w:qFormat/>
    <w:uiPriority w:val="0"/>
    <w:rPr>
      <w:sz w:val="18"/>
      <w:szCs w:val="18"/>
    </w:rPr>
  </w:style>
  <w:style w:type="character" w:customStyle="1" w:styleId="694">
    <w:name w:val="_Style 231"/>
    <w:link w:val="1"/>
    <w:qFormat/>
    <w:uiPriority w:val="0"/>
    <w:rPr>
      <w:b/>
      <w:bCs/>
      <w:smallCaps/>
      <w:spacing w:val="5"/>
    </w:rPr>
  </w:style>
  <w:style w:type="character" w:customStyle="1" w:styleId="695">
    <w:name w:val="结束语 Char1"/>
    <w:link w:val="1"/>
    <w:qFormat/>
    <w:uiPriority w:val="0"/>
    <w:rPr>
      <w:sz w:val="21"/>
      <w:szCs w:val="24"/>
    </w:rPr>
  </w:style>
  <w:style w:type="character" w:customStyle="1" w:styleId="696">
    <w:name w:val="text_list1"/>
    <w:link w:val="1"/>
    <w:qFormat/>
    <w:uiPriority w:val="0"/>
    <w:rPr>
      <w:rFonts w:ascii="Calibri" w:hAnsi="Calibri" w:cs="Calibri"/>
      <w:color w:val="000000"/>
      <w:spacing w:val="272"/>
      <w:sz w:val="16"/>
      <w:szCs w:val="16"/>
    </w:rPr>
  </w:style>
  <w:style w:type="character" w:customStyle="1" w:styleId="697">
    <w:name w:val="_Style 251"/>
    <w:link w:val="1"/>
    <w:qFormat/>
    <w:uiPriority w:val="0"/>
    <w:rPr>
      <w:smallCaps/>
      <w:color w:val="C0504D"/>
      <w:u w:val="single"/>
    </w:rPr>
  </w:style>
  <w:style w:type="character" w:customStyle="1" w:styleId="698">
    <w:name w:val="Para head"/>
    <w:link w:val="1"/>
    <w:qFormat/>
    <w:uiPriority w:val="0"/>
    <w:rPr>
      <w:rFonts w:ascii="Calibri" w:hAnsi="Calibri" w:eastAsia="楷体_GB2312"/>
      <w:sz w:val="20"/>
    </w:rPr>
  </w:style>
  <w:style w:type="character" w:customStyle="1" w:styleId="699">
    <w:name w:val="_Style 257"/>
    <w:link w:val="1"/>
    <w:qFormat/>
    <w:uiPriority w:val="0"/>
    <w:rPr>
      <w:b/>
      <w:bCs/>
      <w:smallCaps/>
      <w:color w:val="C0504D"/>
      <w:spacing w:val="5"/>
      <w:u w:val="single"/>
    </w:rPr>
  </w:style>
  <w:style w:type="character" w:customStyle="1" w:styleId="700">
    <w:name w:val="_Style 258"/>
    <w:link w:val="1"/>
    <w:qFormat/>
    <w:uiPriority w:val="0"/>
    <w:rPr>
      <w:b/>
      <w:bCs/>
      <w:i/>
      <w:iCs/>
      <w:color w:val="4F81BD"/>
    </w:rPr>
  </w:style>
  <w:style w:type="character" w:customStyle="1" w:styleId="701">
    <w:name w:val="Char Char"/>
    <w:link w:val="1"/>
    <w:qFormat/>
    <w:uiPriority w:val="0"/>
    <w:rPr>
      <w:rFonts w:eastAsia="Verdana"/>
      <w:b/>
      <w:bCs/>
      <w:sz w:val="32"/>
      <w:szCs w:val="44"/>
      <w:lang w:val="en-US" w:eastAsia="zh-CN" w:bidi="ar-SA"/>
    </w:rPr>
  </w:style>
  <w:style w:type="character" w:customStyle="1" w:styleId="702">
    <w:name w:val="HTML 预设格式 Char1"/>
    <w:link w:val="1"/>
    <w:qFormat/>
    <w:uiPriority w:val="0"/>
    <w:rPr>
      <w:rFonts w:ascii="Yu Mincho Light" w:hAnsi="Yu Mincho Light" w:cs="Yu Mincho Light"/>
    </w:rPr>
  </w:style>
  <w:style w:type="character" w:customStyle="1" w:styleId="703">
    <w:name w:val="Char Char5"/>
    <w:link w:val="1"/>
    <w:qFormat/>
    <w:uiPriority w:val="0"/>
    <w:rPr>
      <w:rFonts w:eastAsia="Wingdings"/>
      <w:b/>
      <w:bCs/>
      <w:sz w:val="21"/>
      <w:szCs w:val="24"/>
      <w:lang w:val="en-US" w:eastAsia="zh-CN" w:bidi="ar-SA"/>
    </w:rPr>
  </w:style>
  <w:style w:type="character" w:customStyle="1" w:styleId="704">
    <w:name w:val="称呼 Char1"/>
    <w:link w:val="1"/>
    <w:qFormat/>
    <w:uiPriority w:val="0"/>
    <w:rPr>
      <w:sz w:val="21"/>
      <w:szCs w:val="24"/>
    </w:rPr>
  </w:style>
  <w:style w:type="character" w:customStyle="1" w:styleId="705">
    <w:name w:val="正文文本缩进 Char1"/>
    <w:link w:val="1"/>
    <w:qFormat/>
    <w:uiPriority w:val="0"/>
    <w:rPr>
      <w:rFonts w:ascii="等线 Light" w:eastAsia="等线 Light"/>
      <w:sz w:val="28"/>
    </w:rPr>
  </w:style>
  <w:style w:type="character" w:customStyle="1" w:styleId="706">
    <w:name w:val="itm1"/>
    <w:link w:val="1"/>
    <w:qFormat/>
    <w:uiPriority w:val="0"/>
    <w:rPr>
      <w:rFonts w:hint="eastAsia" w:ascii="Verdana" w:hAnsi="Verdana" w:eastAsia="Verdana"/>
      <w:sz w:val="21"/>
      <w:szCs w:val="21"/>
    </w:rPr>
  </w:style>
  <w:style w:type="character" w:customStyle="1" w:styleId="707">
    <w:name w:val="Char Char Char"/>
    <w:link w:val="1"/>
    <w:qFormat/>
    <w:uiPriority w:val="0"/>
    <w:rPr>
      <w:rFonts w:ascii="Verdana" w:hAnsi="Verdana" w:eastAsia="Verdana"/>
      <w:b/>
      <w:sz w:val="24"/>
      <w:lang w:val="en-US" w:eastAsia="zh-CN" w:bidi="ar-SA"/>
    </w:rPr>
  </w:style>
  <w:style w:type="character" w:customStyle="1" w:styleId="708">
    <w:name w:val="正文缩进 Char1"/>
    <w:link w:val="1"/>
    <w:qFormat/>
    <w:uiPriority w:val="0"/>
  </w:style>
  <w:style w:type="character" w:customStyle="1" w:styleId="709">
    <w:name w:val="Char Char91"/>
    <w:link w:val="1"/>
    <w:qFormat/>
    <w:uiPriority w:val="0"/>
    <w:rPr>
      <w:rFonts w:eastAsia="Verdana"/>
      <w:b/>
      <w:bCs/>
      <w:sz w:val="32"/>
      <w:szCs w:val="44"/>
      <w:lang w:val="en-US" w:eastAsia="zh-CN" w:bidi="ar-SA"/>
    </w:rPr>
  </w:style>
  <w:style w:type="character" w:customStyle="1" w:styleId="710">
    <w:name w:val="Plain Text Char"/>
    <w:link w:val="1"/>
    <w:qFormat/>
    <w:uiPriority w:val="0"/>
    <w:rPr>
      <w:rFonts w:ascii="Verdana" w:hAnsi="Yu Mincho Light" w:eastAsia="Verdana"/>
      <w:sz w:val="24"/>
      <w:lang w:bidi="ar-SA"/>
    </w:rPr>
  </w:style>
  <w:style w:type="character" w:customStyle="1" w:styleId="711">
    <w:name w:val="Body Text Indent Char"/>
    <w:link w:val="1"/>
    <w:qFormat/>
    <w:uiPriority w:val="0"/>
    <w:rPr>
      <w:rFonts w:ascii="Verdana" w:hAnsi="Verdana" w:eastAsia="Verdana"/>
      <w:sz w:val="21"/>
      <w:lang w:val="en-US" w:eastAsia="zh-CN" w:bidi="ar-SA"/>
    </w:rPr>
  </w:style>
  <w:style w:type="character" w:customStyle="1" w:styleId="712">
    <w:name w:val="批注文字 Char1"/>
    <w:link w:val="1"/>
    <w:qFormat/>
    <w:uiPriority w:val="0"/>
    <w:rPr>
      <w:rFonts w:ascii="楷体_GB2312" w:hAnsi="楷体_GB2312" w:eastAsia="Verdana" w:cs="楷体_GB2312"/>
      <w:szCs w:val="24"/>
    </w:rPr>
  </w:style>
  <w:style w:type="character" w:customStyle="1" w:styleId="713">
    <w:name w:val="Body Text Indent 2 Char"/>
    <w:link w:val="1"/>
    <w:qFormat/>
    <w:uiPriority w:val="0"/>
    <w:rPr>
      <w:rFonts w:eastAsia="Verdana"/>
      <w:sz w:val="21"/>
      <w:szCs w:val="24"/>
      <w:lang w:val="en-US" w:eastAsia="zh-CN" w:bidi="ar-SA"/>
    </w:rPr>
  </w:style>
  <w:style w:type="character" w:customStyle="1" w:styleId="714">
    <w:name w:val="Char Char23"/>
    <w:link w:val="1"/>
    <w:qFormat/>
    <w:uiPriority w:val="0"/>
    <w:rPr>
      <w:rFonts w:eastAsia="Verdana"/>
      <w:b/>
      <w:bCs/>
      <w:sz w:val="32"/>
      <w:szCs w:val="44"/>
      <w:lang w:val="en-US" w:eastAsia="zh-CN" w:bidi="ar-SA"/>
    </w:rPr>
  </w:style>
  <w:style w:type="character" w:customStyle="1" w:styleId="715">
    <w:name w:val="批注文字 Char2"/>
    <w:link w:val="1"/>
    <w:qFormat/>
    <w:uiPriority w:val="0"/>
    <w:rPr>
      <w:rFonts w:eastAsia="Verdana"/>
      <w:sz w:val="21"/>
      <w:szCs w:val="24"/>
      <w:lang w:val="en-US" w:eastAsia="zh-CN" w:bidi="ar-SA"/>
    </w:rPr>
  </w:style>
  <w:style w:type="character" w:customStyle="1" w:styleId="716">
    <w:name w:val="Heading 4 Char"/>
    <w:link w:val="1"/>
    <w:qFormat/>
    <w:uiPriority w:val="0"/>
    <w:rPr>
      <w:rFonts w:ascii="Calibri" w:hAnsi="Calibri" w:eastAsia="Verdana"/>
      <w:b/>
      <w:bCs/>
      <w:sz w:val="21"/>
      <w:szCs w:val="28"/>
      <w:lang w:val="en-US" w:eastAsia="zh-CN" w:bidi="ar-SA"/>
    </w:rPr>
  </w:style>
  <w:style w:type="character" w:customStyle="1" w:styleId="717">
    <w:name w:val="Heading 3 Char"/>
    <w:link w:val="1"/>
    <w:qFormat/>
    <w:uiPriority w:val="0"/>
    <w:rPr>
      <w:rFonts w:cs="楷体_GB2312"/>
      <w:b/>
      <w:bCs/>
      <w:sz w:val="32"/>
      <w:szCs w:val="32"/>
    </w:rPr>
  </w:style>
  <w:style w:type="character" w:customStyle="1" w:styleId="718">
    <w:name w:val="标题4 Char Char"/>
    <w:link w:val="1"/>
    <w:qFormat/>
    <w:uiPriority w:val="0"/>
    <w:rPr>
      <w:rFonts w:ascii="Calibri" w:hAnsi="Calibri"/>
      <w:b/>
      <w:bCs/>
      <w:sz w:val="24"/>
      <w:szCs w:val="32"/>
      <w:lang w:bidi="ar-SA"/>
    </w:rPr>
  </w:style>
  <w:style w:type="character" w:customStyle="1" w:styleId="719">
    <w:name w:val="Footnote Text Char"/>
    <w:link w:val="1"/>
    <w:qFormat/>
    <w:uiPriority w:val="0"/>
    <w:rPr>
      <w:rFonts w:eastAsia="Verdana"/>
      <w:sz w:val="18"/>
      <w:lang w:val="en-US" w:eastAsia="zh-CN" w:bidi="ar-SA"/>
    </w:rPr>
  </w:style>
  <w:style w:type="character" w:customStyle="1" w:styleId="720">
    <w:name w:val="Comment Subject Char"/>
    <w:link w:val="1"/>
    <w:qFormat/>
    <w:uiPriority w:val="0"/>
    <w:rPr>
      <w:b/>
      <w:sz w:val="24"/>
      <w:lang w:bidi="ar-SA"/>
    </w:rPr>
  </w:style>
  <w:style w:type="character" w:customStyle="1" w:styleId="721">
    <w:name w:val="Char Char18"/>
    <w:link w:val="1"/>
    <w:qFormat/>
    <w:uiPriority w:val="0"/>
    <w:rPr>
      <w:rFonts w:ascii="楷体_GB2312" w:hAnsi="楷体_GB2312" w:eastAsia="Verdana" w:cs="楷体_GB2312"/>
      <w:b/>
      <w:bCs/>
      <w:sz w:val="28"/>
      <w:szCs w:val="28"/>
    </w:rPr>
  </w:style>
  <w:style w:type="character" w:customStyle="1" w:styleId="722">
    <w:name w:val="超链接_0"/>
    <w:link w:val="1"/>
    <w:qFormat/>
    <w:uiPriority w:val="99"/>
    <w:rPr>
      <w:rFonts w:ascii="幼圆" w:hAnsi="幼圆" w:cs="楷体_GB2312"/>
      <w:color w:val="0000FF"/>
      <w:u w:val="single"/>
    </w:rPr>
  </w:style>
  <w:style w:type="character" w:customStyle="1" w:styleId="723">
    <w:name w:val="Title Char"/>
    <w:link w:val="1"/>
    <w:qFormat/>
    <w:uiPriority w:val="0"/>
    <w:rPr>
      <w:rFonts w:ascii="等线" w:hAnsi="等线"/>
      <w:b/>
      <w:sz w:val="32"/>
      <w:lang w:bidi="ar-SA"/>
    </w:rPr>
  </w:style>
  <w:style w:type="character" w:customStyle="1" w:styleId="724">
    <w:name w:val="Balloon Text Char"/>
    <w:link w:val="1"/>
    <w:qFormat/>
    <w:uiPriority w:val="0"/>
    <w:rPr>
      <w:sz w:val="18"/>
      <w:lang w:bidi="ar-SA"/>
    </w:rPr>
  </w:style>
  <w:style w:type="character" w:customStyle="1" w:styleId="725">
    <w:name w:val="Char Char20"/>
    <w:link w:val="1"/>
    <w:qFormat/>
    <w:uiPriority w:val="0"/>
    <w:rPr>
      <w:rFonts w:ascii="楷体_GB2312" w:hAnsi="楷体_GB2312" w:eastAsia="Verdana" w:cs="楷体_GB2312"/>
      <w:b/>
      <w:bCs/>
      <w:sz w:val="24"/>
      <w:szCs w:val="32"/>
    </w:rPr>
  </w:style>
  <w:style w:type="character" w:customStyle="1" w:styleId="726">
    <w:name w:val="Header Char"/>
    <w:link w:val="1"/>
    <w:qFormat/>
    <w:uiPriority w:val="0"/>
    <w:rPr>
      <w:rFonts w:eastAsia="Verdana"/>
      <w:sz w:val="18"/>
      <w:szCs w:val="18"/>
      <w:lang w:val="en-US" w:eastAsia="zh-CN" w:bidi="ar-SA"/>
    </w:rPr>
  </w:style>
  <w:style w:type="character" w:customStyle="1" w:styleId="727">
    <w:name w:val="Heading 5 Char"/>
    <w:link w:val="1"/>
    <w:qFormat/>
    <w:uiPriority w:val="0"/>
    <w:rPr>
      <w:rFonts w:eastAsia="Verdana"/>
      <w:b/>
      <w:bCs/>
      <w:sz w:val="28"/>
      <w:szCs w:val="28"/>
      <w:lang w:val="en-US" w:eastAsia="zh-CN" w:bidi="ar-SA"/>
    </w:rPr>
  </w:style>
  <w:style w:type="character" w:customStyle="1" w:styleId="728">
    <w:name w:val="Heading 1 Char"/>
    <w:link w:val="1"/>
    <w:qFormat/>
    <w:uiPriority w:val="0"/>
    <w:rPr>
      <w:rFonts w:eastAsia="Verdana"/>
      <w:b/>
      <w:bCs/>
      <w:sz w:val="32"/>
      <w:szCs w:val="44"/>
      <w:lang w:val="en-US" w:eastAsia="zh-CN" w:bidi="ar-SA"/>
    </w:rPr>
  </w:style>
  <w:style w:type="character" w:customStyle="1" w:styleId="729">
    <w:name w:val="Char Char22"/>
    <w:link w:val="1"/>
    <w:qFormat/>
    <w:uiPriority w:val="0"/>
    <w:rPr>
      <w:rFonts w:ascii="楷体_GB2312" w:hAnsi="楷体_GB2312" w:eastAsia="Verdana" w:cs="楷体_GB2312"/>
      <w:b/>
      <w:bCs/>
      <w:sz w:val="32"/>
      <w:szCs w:val="44"/>
    </w:rPr>
  </w:style>
  <w:style w:type="character" w:customStyle="1" w:styleId="730">
    <w:name w:val="Heading 3 Char1"/>
    <w:link w:val="1"/>
    <w:qFormat/>
    <w:uiPriority w:val="0"/>
    <w:rPr>
      <w:rFonts w:eastAsia="Verdana"/>
      <w:b/>
      <w:bCs/>
      <w:sz w:val="24"/>
      <w:szCs w:val="32"/>
      <w:lang w:val="en-US" w:eastAsia="zh-CN" w:bidi="ar-SA"/>
    </w:rPr>
  </w:style>
  <w:style w:type="character" w:customStyle="1" w:styleId="731">
    <w:name w:val="Char Char181"/>
    <w:link w:val="1"/>
    <w:qFormat/>
    <w:uiPriority w:val="0"/>
    <w:rPr>
      <w:b/>
      <w:bCs/>
      <w:sz w:val="44"/>
      <w:szCs w:val="44"/>
    </w:rPr>
  </w:style>
  <w:style w:type="character" w:customStyle="1" w:styleId="732">
    <w:name w:val="Char Char9"/>
    <w:link w:val="1"/>
    <w:qFormat/>
    <w:uiPriority w:val="0"/>
    <w:rPr>
      <w:rFonts w:eastAsia="Verdana"/>
      <w:b/>
      <w:bCs/>
      <w:sz w:val="32"/>
      <w:szCs w:val="44"/>
      <w:lang w:val="en-US" w:eastAsia="zh-CN" w:bidi="ar-SA"/>
    </w:rPr>
  </w:style>
  <w:style w:type="character" w:customStyle="1" w:styleId="733">
    <w:name w:val="Char Char19"/>
    <w:link w:val="1"/>
    <w:qFormat/>
    <w:uiPriority w:val="0"/>
    <w:rPr>
      <w:rFonts w:ascii="Calibri" w:hAnsi="Calibri" w:eastAsia="Verdana" w:cs="楷体_GB2312"/>
      <w:b/>
      <w:bCs/>
      <w:szCs w:val="28"/>
    </w:rPr>
  </w:style>
  <w:style w:type="character" w:customStyle="1" w:styleId="734">
    <w:name w:val="标题 Char1"/>
    <w:link w:val="1"/>
    <w:qFormat/>
    <w:uiPriority w:val="0"/>
    <w:rPr>
      <w:rFonts w:ascii="等线" w:hAnsi="等线" w:eastAsia="Verdana" w:cs="楷体_GB2312"/>
      <w:b/>
      <w:bCs/>
      <w:sz w:val="32"/>
      <w:szCs w:val="32"/>
    </w:rPr>
  </w:style>
  <w:style w:type="character" w:customStyle="1" w:styleId="735">
    <w:name w:val="Document Map Char"/>
    <w:link w:val="1"/>
    <w:qFormat/>
    <w:uiPriority w:val="0"/>
    <w:rPr>
      <w:rFonts w:eastAsia="Verdana"/>
      <w:sz w:val="21"/>
      <w:szCs w:val="24"/>
      <w:lang w:val="en-US" w:eastAsia="zh-CN" w:bidi="ar-SA"/>
    </w:rPr>
  </w:style>
  <w:style w:type="character" w:customStyle="1" w:styleId="736">
    <w:name w:val="标题 Char2"/>
    <w:link w:val="1"/>
    <w:qFormat/>
    <w:uiPriority w:val="0"/>
    <w:rPr>
      <w:rFonts w:ascii="等线" w:hAnsi="等线" w:eastAsia="Verdana" w:cs="楷体_GB2312"/>
      <w:b/>
      <w:bCs/>
      <w:sz w:val="32"/>
      <w:szCs w:val="32"/>
    </w:rPr>
  </w:style>
  <w:style w:type="character" w:customStyle="1" w:styleId="737">
    <w:name w:val="Comment Text Char1"/>
    <w:link w:val="1"/>
    <w:qFormat/>
    <w:uiPriority w:val="0"/>
    <w:rPr>
      <w:sz w:val="24"/>
      <w:lang w:bidi="ar-SA"/>
    </w:rPr>
  </w:style>
  <w:style w:type="character" w:customStyle="1" w:styleId="738">
    <w:name w:val="Footer Char"/>
    <w:link w:val="1"/>
    <w:qFormat/>
    <w:uiPriority w:val="0"/>
    <w:rPr>
      <w:rFonts w:eastAsia="Verdana"/>
      <w:sz w:val="18"/>
      <w:szCs w:val="18"/>
      <w:lang w:val="en-US" w:eastAsia="zh-CN" w:bidi="ar-SA"/>
    </w:rPr>
  </w:style>
  <w:style w:type="character" w:customStyle="1" w:styleId="739">
    <w:name w:val="Char Char21"/>
    <w:link w:val="1"/>
    <w:qFormat/>
    <w:uiPriority w:val="0"/>
    <w:rPr>
      <w:rFonts w:ascii="Calibri" w:hAnsi="Calibri" w:eastAsia="隶书" w:cs="楷体_GB2312"/>
      <w:b/>
      <w:bCs/>
      <w:sz w:val="32"/>
      <w:szCs w:val="32"/>
    </w:rPr>
  </w:style>
  <w:style w:type="character" w:customStyle="1" w:styleId="740">
    <w:name w:val="Heading 2 Char"/>
    <w:link w:val="1"/>
    <w:qFormat/>
    <w:uiPriority w:val="0"/>
    <w:rPr>
      <w:rFonts w:ascii="Calibri" w:hAnsi="Calibri" w:eastAsia="隶书"/>
      <w:b/>
      <w:bCs/>
      <w:sz w:val="32"/>
      <w:szCs w:val="32"/>
      <w:lang w:val="en-US" w:eastAsia="zh-CN" w:bidi="ar-SA"/>
    </w:rPr>
  </w:style>
  <w:style w:type="character" w:customStyle="1" w:styleId="741">
    <w:name w:val="Comment Text Char"/>
    <w:link w:val="1"/>
    <w:qFormat/>
    <w:uiPriority w:val="0"/>
    <w:rPr>
      <w:rFonts w:cs="楷体_GB2312"/>
      <w:sz w:val="24"/>
      <w:szCs w:val="24"/>
    </w:rPr>
  </w:style>
  <w:style w:type="character" w:customStyle="1" w:styleId="742">
    <w:name w:val="Date Char"/>
    <w:link w:val="1"/>
    <w:qFormat/>
    <w:uiPriority w:val="0"/>
    <w:rPr>
      <w:rFonts w:eastAsia="Verdana"/>
      <w:sz w:val="21"/>
      <w:szCs w:val="24"/>
      <w:lang w:val="en-US" w:eastAsia="zh-CN" w:bidi="ar-SA"/>
    </w:rPr>
  </w:style>
  <w:style w:type="character" w:customStyle="1" w:styleId="743">
    <w:name w:val="Char Char24"/>
    <w:link w:val="1"/>
    <w:qFormat/>
    <w:uiPriority w:val="0"/>
    <w:rPr>
      <w:rFonts w:eastAsia="Verdana"/>
      <w:b/>
      <w:bCs/>
      <w:sz w:val="32"/>
      <w:szCs w:val="44"/>
      <w:lang w:val="en-US" w:eastAsia="zh-CN" w:bidi="ar-SA"/>
    </w:rPr>
  </w:style>
  <w:style w:type="character" w:customStyle="1" w:styleId="744">
    <w:name w:val="标题 2 Char1"/>
    <w:link w:val="1"/>
    <w:qFormat/>
    <w:uiPriority w:val="0"/>
    <w:rPr>
      <w:rFonts w:ascii="Calibri" w:hAnsi="Calibri" w:eastAsia="隶书" w:cs="幼圆"/>
      <w:b/>
      <w:sz w:val="32"/>
      <w:szCs w:val="20"/>
    </w:rPr>
  </w:style>
  <w:style w:type="character" w:customStyle="1" w:styleId="745">
    <w:name w:val="标题 1 Char1"/>
    <w:link w:val="1"/>
    <w:qFormat/>
    <w:uiPriority w:val="0"/>
    <w:rPr>
      <w:rFonts w:ascii="幼圆" w:hAnsi="幼圆" w:eastAsia="Verdana" w:cs="Calibri"/>
      <w:b/>
      <w:sz w:val="44"/>
      <w:szCs w:val="20"/>
    </w:rPr>
  </w:style>
  <w:style w:type="character" w:customStyle="1" w:styleId="746">
    <w:name w:val="标题 3 Char1"/>
    <w:link w:val="1"/>
    <w:qFormat/>
    <w:uiPriority w:val="0"/>
    <w:rPr>
      <w:rFonts w:ascii="幼圆" w:hAnsi="幼圆" w:eastAsia="Verdana" w:cs="Calibri"/>
      <w:b/>
      <w:sz w:val="32"/>
      <w:szCs w:val="20"/>
    </w:rPr>
  </w:style>
  <w:style w:type="character" w:customStyle="1" w:styleId="747">
    <w:name w:val="标题 1 字符"/>
    <w:link w:val="1"/>
    <w:qFormat/>
    <w:uiPriority w:val="0"/>
    <w:rPr>
      <w:rFonts w:ascii="Times New Roman" w:hAnsi="Times New Roman" w:eastAsia="宋体" w:cs="Times New Roman"/>
      <w:b/>
      <w:bCs/>
      <w:sz w:val="44"/>
      <w:szCs w:val="44"/>
    </w:rPr>
  </w:style>
  <w:style w:type="character" w:customStyle="1" w:styleId="748">
    <w:name w:val="标题 2 字符"/>
    <w:link w:val="1"/>
    <w:qFormat/>
    <w:uiPriority w:val="0"/>
    <w:rPr>
      <w:rFonts w:ascii="等线 Light" w:hAnsi="等线 Light" w:eastAsia="等线 Light" w:cs="Times New Roman"/>
      <w:b/>
      <w:bCs/>
      <w:sz w:val="32"/>
      <w:szCs w:val="32"/>
    </w:rPr>
  </w:style>
  <w:style w:type="character" w:customStyle="1" w:styleId="749">
    <w:name w:val="标题 3 字符"/>
    <w:link w:val="1"/>
    <w:qFormat/>
    <w:uiPriority w:val="0"/>
    <w:rPr>
      <w:rFonts w:ascii="Times New Roman" w:hAnsi="Times New Roman" w:eastAsia="宋体" w:cs="Times New Roman"/>
      <w:b/>
      <w:bCs/>
      <w:sz w:val="32"/>
      <w:szCs w:val="32"/>
    </w:rPr>
  </w:style>
  <w:style w:type="character" w:customStyle="1" w:styleId="750">
    <w:name w:val="标题 4 字符"/>
    <w:link w:val="1"/>
    <w:semiHidden/>
    <w:qFormat/>
    <w:uiPriority w:val="0"/>
    <w:rPr>
      <w:rFonts w:ascii="等线 Light" w:hAnsi="等线 Light" w:eastAsia="等线 Light" w:cs="Times New Roman"/>
      <w:b/>
      <w:bCs/>
      <w:sz w:val="28"/>
      <w:szCs w:val="28"/>
    </w:rPr>
  </w:style>
  <w:style w:type="character" w:customStyle="1" w:styleId="751">
    <w:name w:val="标题 5 字符"/>
    <w:link w:val="1"/>
    <w:qFormat/>
    <w:uiPriority w:val="0"/>
    <w:rPr>
      <w:rFonts w:ascii="Times New Roman" w:hAnsi="Times New Roman" w:eastAsia="宋体" w:cs="Times New Roman"/>
      <w:b/>
      <w:bCs/>
      <w:sz w:val="28"/>
      <w:szCs w:val="28"/>
    </w:rPr>
  </w:style>
  <w:style w:type="character" w:customStyle="1" w:styleId="752">
    <w:name w:val="标题 6 字符"/>
    <w:link w:val="1"/>
    <w:qFormat/>
    <w:uiPriority w:val="0"/>
    <w:rPr>
      <w:rFonts w:ascii="等线 Light" w:hAnsi="等线 Light" w:eastAsia="等线 Light" w:cs="Times New Roman"/>
      <w:b/>
      <w:bCs/>
      <w:sz w:val="24"/>
      <w:szCs w:val="24"/>
    </w:rPr>
  </w:style>
  <w:style w:type="character" w:customStyle="1" w:styleId="753">
    <w:name w:val="标题 7 字符"/>
    <w:link w:val="1"/>
    <w:qFormat/>
    <w:uiPriority w:val="0"/>
    <w:rPr>
      <w:rFonts w:ascii="Times New Roman" w:hAnsi="Times New Roman" w:eastAsia="宋体" w:cs="Times New Roman"/>
      <w:b/>
      <w:bCs/>
      <w:sz w:val="24"/>
      <w:szCs w:val="24"/>
    </w:rPr>
  </w:style>
  <w:style w:type="character" w:customStyle="1" w:styleId="754">
    <w:name w:val="标题 8 字符"/>
    <w:link w:val="1"/>
    <w:qFormat/>
    <w:uiPriority w:val="0"/>
    <w:rPr>
      <w:rFonts w:ascii="等线 Light" w:hAnsi="等线 Light" w:eastAsia="等线 Light" w:cs="Times New Roman"/>
      <w:sz w:val="24"/>
      <w:szCs w:val="24"/>
    </w:rPr>
  </w:style>
  <w:style w:type="character" w:customStyle="1" w:styleId="755">
    <w:name w:val="标题 9 字符"/>
    <w:link w:val="1"/>
    <w:qFormat/>
    <w:uiPriority w:val="0"/>
    <w:rPr>
      <w:rFonts w:ascii="等线 Light" w:hAnsi="等线 Light" w:eastAsia="等线 Light" w:cs="Times New Roman"/>
      <w:sz w:val="21"/>
      <w:szCs w:val="21"/>
    </w:rPr>
  </w:style>
  <w:style w:type="character" w:customStyle="1" w:styleId="756">
    <w:name w:val="HTML 预设格式 字符"/>
    <w:link w:val="1"/>
    <w:qFormat/>
    <w:uiPriority w:val="0"/>
    <w:rPr>
      <w:rFonts w:ascii="黑体" w:hAnsi="Courier New" w:eastAsia="黑体" w:cs="Times New Roman"/>
    </w:rPr>
  </w:style>
  <w:style w:type="character" w:customStyle="1" w:styleId="757">
    <w:name w:val="普通(网站) 字符1"/>
    <w:link w:val="1"/>
    <w:qFormat/>
    <w:uiPriority w:val="0"/>
    <w:rPr>
      <w:rFonts w:ascii="宋体" w:hAnsi="宋体" w:eastAsia="宋体"/>
      <w:sz w:val="24"/>
      <w:szCs w:val="24"/>
    </w:rPr>
  </w:style>
  <w:style w:type="character" w:customStyle="1" w:styleId="758">
    <w:name w:val="正文缩进 字符1"/>
    <w:link w:val="1"/>
    <w:semiHidden/>
    <w:qFormat/>
    <w:uiPriority w:val="0"/>
  </w:style>
  <w:style w:type="character" w:customStyle="1" w:styleId="759">
    <w:name w:val="脚注文本 字符"/>
    <w:link w:val="1"/>
    <w:qFormat/>
    <w:uiPriority w:val="0"/>
    <w:rPr>
      <w:rFonts w:ascii="Times New Roman" w:hAnsi="Times New Roman" w:eastAsia="宋体" w:cs="Times New Roman"/>
      <w:sz w:val="18"/>
      <w:szCs w:val="18"/>
    </w:rPr>
  </w:style>
  <w:style w:type="character" w:customStyle="1" w:styleId="760">
    <w:name w:val="批注文字 字符"/>
    <w:link w:val="1"/>
    <w:qFormat/>
    <w:uiPriority w:val="0"/>
    <w:rPr>
      <w:rFonts w:ascii="Times New Roman" w:hAnsi="Times New Roman" w:eastAsia="宋体" w:cs="Times New Roman"/>
      <w:sz w:val="21"/>
      <w:szCs w:val="24"/>
    </w:rPr>
  </w:style>
  <w:style w:type="character" w:customStyle="1" w:styleId="761">
    <w:name w:val="页眉 字符"/>
    <w:link w:val="1"/>
    <w:qFormat/>
    <w:uiPriority w:val="0"/>
    <w:rPr>
      <w:rFonts w:ascii="Times New Roman" w:hAnsi="Times New Roman" w:eastAsia="宋体" w:cs="Times New Roman"/>
      <w:sz w:val="18"/>
      <w:szCs w:val="18"/>
    </w:rPr>
  </w:style>
  <w:style w:type="character" w:customStyle="1" w:styleId="762">
    <w:name w:val="页脚 字符"/>
    <w:link w:val="1"/>
    <w:qFormat/>
    <w:uiPriority w:val="99"/>
    <w:rPr>
      <w:rFonts w:ascii="Times New Roman" w:hAnsi="Times New Roman" w:eastAsia="宋体" w:cs="Times New Roman"/>
      <w:sz w:val="18"/>
      <w:szCs w:val="18"/>
    </w:rPr>
  </w:style>
  <w:style w:type="character" w:customStyle="1" w:styleId="763">
    <w:name w:val="标题 字符"/>
    <w:link w:val="1"/>
    <w:qFormat/>
    <w:uiPriority w:val="0"/>
    <w:rPr>
      <w:rFonts w:ascii="Arial" w:hAnsi="Arial" w:eastAsia="宋体" w:cs="Arial"/>
      <w:b/>
      <w:bCs/>
      <w:sz w:val="32"/>
      <w:szCs w:val="32"/>
    </w:rPr>
  </w:style>
  <w:style w:type="character" w:customStyle="1" w:styleId="764">
    <w:name w:val="结束语 字符"/>
    <w:link w:val="1"/>
    <w:qFormat/>
    <w:uiPriority w:val="0"/>
    <w:rPr>
      <w:rFonts w:ascii="Times New Roman" w:hAnsi="Times New Roman" w:eastAsia="宋体" w:cs="Times New Roman"/>
      <w:sz w:val="28"/>
      <w:szCs w:val="24"/>
    </w:rPr>
  </w:style>
  <w:style w:type="character" w:customStyle="1" w:styleId="765">
    <w:name w:val="正文文本 字符"/>
    <w:link w:val="1"/>
    <w:qFormat/>
    <w:uiPriority w:val="0"/>
    <w:rPr>
      <w:rFonts w:ascii="Times New Roman" w:hAnsi="Times New Roman" w:eastAsia="宋体" w:cs="Times New Roman"/>
      <w:sz w:val="21"/>
      <w:szCs w:val="24"/>
    </w:rPr>
  </w:style>
  <w:style w:type="character" w:customStyle="1" w:styleId="766">
    <w:name w:val="正文文本缩进 字符"/>
    <w:link w:val="1"/>
    <w:qFormat/>
    <w:uiPriority w:val="0"/>
    <w:rPr>
      <w:rFonts w:ascii="Times New Roman" w:hAnsi="Times New Roman" w:eastAsia="宋体" w:cs="Times New Roman"/>
      <w:sz w:val="21"/>
      <w:szCs w:val="24"/>
    </w:rPr>
  </w:style>
  <w:style w:type="character" w:customStyle="1" w:styleId="767">
    <w:name w:val="副标题 字符"/>
    <w:link w:val="1"/>
    <w:qFormat/>
    <w:uiPriority w:val="0"/>
    <w:rPr>
      <w:rFonts w:ascii="幼圆" w:hAnsi="幼圆" w:eastAsia="宋体" w:cs="Times New Roman"/>
      <w:b/>
      <w:bCs/>
      <w:sz w:val="32"/>
      <w:szCs w:val="32"/>
    </w:rPr>
  </w:style>
  <w:style w:type="character" w:customStyle="1" w:styleId="768">
    <w:name w:val="称呼 字符"/>
    <w:link w:val="1"/>
    <w:qFormat/>
    <w:uiPriority w:val="0"/>
    <w:rPr>
      <w:rFonts w:ascii="Times New Roman" w:hAnsi="Times New Roman" w:eastAsia="宋体" w:cs="Times New Roman"/>
      <w:sz w:val="21"/>
      <w:szCs w:val="24"/>
    </w:rPr>
  </w:style>
  <w:style w:type="character" w:customStyle="1" w:styleId="769">
    <w:name w:val="日期 字符"/>
    <w:link w:val="1"/>
    <w:qFormat/>
    <w:uiPriority w:val="0"/>
    <w:rPr>
      <w:rFonts w:ascii="Times New Roman" w:hAnsi="Times New Roman" w:eastAsia="宋体" w:cs="Times New Roman"/>
      <w:sz w:val="21"/>
      <w:szCs w:val="24"/>
    </w:rPr>
  </w:style>
  <w:style w:type="character" w:customStyle="1" w:styleId="770">
    <w:name w:val="正文文本首行缩进 2 字符"/>
    <w:link w:val="1"/>
    <w:semiHidden/>
    <w:qFormat/>
    <w:uiPriority w:val="0"/>
    <w:rPr>
      <w:rFonts w:ascii="Cambria" w:hAnsi="Cambria" w:eastAsia="华文细黑" w:cs="Cambria"/>
      <w:sz w:val="21"/>
      <w:szCs w:val="24"/>
    </w:rPr>
  </w:style>
  <w:style w:type="character" w:customStyle="1" w:styleId="771">
    <w:name w:val="正文文本 2 字符"/>
    <w:link w:val="1"/>
    <w:qFormat/>
    <w:uiPriority w:val="0"/>
    <w:rPr>
      <w:rFonts w:ascii="Times New Roman" w:hAnsi="Times New Roman" w:eastAsia="宋体" w:cs="Times New Roman"/>
      <w:sz w:val="21"/>
      <w:szCs w:val="24"/>
    </w:rPr>
  </w:style>
  <w:style w:type="character" w:customStyle="1" w:styleId="772">
    <w:name w:val="正文文本 3 字符"/>
    <w:link w:val="1"/>
    <w:qFormat/>
    <w:uiPriority w:val="0"/>
    <w:rPr>
      <w:rFonts w:ascii="Times New Roman" w:hAnsi="Times New Roman" w:eastAsia="宋体" w:cs="Times New Roman"/>
      <w:b/>
      <w:bCs/>
      <w:sz w:val="24"/>
      <w:szCs w:val="24"/>
    </w:rPr>
  </w:style>
  <w:style w:type="character" w:customStyle="1" w:styleId="773">
    <w:name w:val="正文文本缩进 2 字符"/>
    <w:link w:val="1"/>
    <w:qFormat/>
    <w:uiPriority w:val="0"/>
    <w:rPr>
      <w:rFonts w:ascii="Times New Roman" w:hAnsi="Times New Roman" w:eastAsia="宋体" w:cs="Times New Roman"/>
      <w:sz w:val="21"/>
      <w:szCs w:val="24"/>
    </w:rPr>
  </w:style>
  <w:style w:type="character" w:customStyle="1" w:styleId="774">
    <w:name w:val="正文文本缩进 3 字符"/>
    <w:link w:val="1"/>
    <w:qFormat/>
    <w:uiPriority w:val="0"/>
    <w:rPr>
      <w:rFonts w:ascii="仿宋_GB2312" w:hAnsi="Times New Roman" w:eastAsia="仿宋_GB2312" w:cs="Times New Roman"/>
      <w:sz w:val="32"/>
    </w:rPr>
  </w:style>
  <w:style w:type="character" w:customStyle="1" w:styleId="775">
    <w:name w:val="文档结构图 字符"/>
    <w:link w:val="1"/>
    <w:qFormat/>
    <w:uiPriority w:val="0"/>
    <w:rPr>
      <w:rFonts w:ascii="Times New Roman" w:hAnsi="Times New Roman" w:eastAsia="宋体" w:cs="Times New Roman"/>
      <w:sz w:val="21"/>
      <w:szCs w:val="24"/>
      <w:shd w:val="clear" w:color="auto" w:fill="000080"/>
    </w:rPr>
  </w:style>
  <w:style w:type="character" w:customStyle="1" w:styleId="776">
    <w:name w:val="纯文本 字符"/>
    <w:link w:val="1"/>
    <w:qFormat/>
    <w:uiPriority w:val="0"/>
    <w:rPr>
      <w:rFonts w:ascii="宋体" w:hAnsi="Courier New" w:eastAsia="宋体" w:cs="Times New Roman"/>
      <w:sz w:val="21"/>
      <w:szCs w:val="21"/>
    </w:rPr>
  </w:style>
  <w:style w:type="character" w:customStyle="1" w:styleId="777">
    <w:name w:val="批注主题 字符"/>
    <w:link w:val="1"/>
    <w:qFormat/>
    <w:uiPriority w:val="0"/>
    <w:rPr>
      <w:rFonts w:ascii="Times New Roman" w:hAnsi="Times New Roman" w:eastAsia="宋体" w:cs="Times New Roman"/>
      <w:b/>
      <w:bCs/>
      <w:sz w:val="21"/>
      <w:szCs w:val="24"/>
    </w:rPr>
  </w:style>
  <w:style w:type="character" w:customStyle="1" w:styleId="778">
    <w:name w:val="批注框文本 字符"/>
    <w:link w:val="1"/>
    <w:qFormat/>
    <w:uiPriority w:val="0"/>
    <w:rPr>
      <w:rFonts w:ascii="Times New Roman" w:hAnsi="Times New Roman" w:eastAsia="宋体" w:cs="Times New Roman"/>
      <w:sz w:val="18"/>
      <w:szCs w:val="18"/>
    </w:rPr>
  </w:style>
  <w:style w:type="character" w:customStyle="1" w:styleId="779">
    <w:name w:val="引用 字符"/>
    <w:link w:val="1"/>
    <w:qFormat/>
    <w:uiPriority w:val="0"/>
    <w:rPr>
      <w:rFonts w:ascii="Times New Roman" w:hAnsi="Times New Roman" w:eastAsia="宋体" w:cs="Times New Roman"/>
      <w:i/>
      <w:iCs/>
      <w:color w:val="000000"/>
      <w:sz w:val="21"/>
      <w:szCs w:val="22"/>
    </w:rPr>
  </w:style>
  <w:style w:type="character" w:customStyle="1" w:styleId="780">
    <w:name w:val="明显引用 字符"/>
    <w:link w:val="1"/>
    <w:qFormat/>
    <w:uiPriority w:val="0"/>
    <w:rPr>
      <w:rFonts w:ascii="Times New Roman" w:hAnsi="Times New Roman" w:eastAsia="宋体" w:cs="Times New Roman"/>
      <w:b/>
      <w:bCs/>
      <w:i/>
      <w:iCs/>
      <w:color w:val="4F81BD"/>
      <w:sz w:val="21"/>
      <w:szCs w:val="22"/>
    </w:rPr>
  </w:style>
  <w:style w:type="character" w:customStyle="1" w:styleId="781">
    <w:name w:val="称呼 Char2"/>
    <w:link w:val="1"/>
    <w:semiHidden/>
    <w:qFormat/>
    <w:uiPriority w:val="99"/>
    <w:rPr>
      <w:rFonts w:ascii="Times New Roman" w:hAnsi="Times New Roman" w:eastAsia="宋体" w:cs="Times New Roman"/>
      <w:szCs w:val="24"/>
    </w:rPr>
  </w:style>
  <w:style w:type="character" w:customStyle="1" w:styleId="782">
    <w:name w:val="font161"/>
    <w:link w:val="1"/>
    <w:qFormat/>
    <w:uiPriority w:val="0"/>
    <w:rPr>
      <w:rFonts w:hint="eastAsia" w:ascii="宋体" w:hAnsi="宋体" w:eastAsia="宋体" w:cs="宋体"/>
      <w:color w:val="FF0000"/>
      <w:sz w:val="21"/>
      <w:szCs w:val="21"/>
      <w:u w:val="none"/>
    </w:rPr>
  </w:style>
  <w:style w:type="character" w:customStyle="1" w:styleId="783">
    <w:name w:val="正文文本缩进 3 字符1"/>
    <w:link w:val="1"/>
    <w:qFormat/>
    <w:uiPriority w:val="0"/>
    <w:rPr>
      <w:rFonts w:hint="eastAsia" w:ascii="仿宋_GB2312" w:eastAsia="仿宋_GB2312"/>
      <w:sz w:val="32"/>
    </w:rPr>
  </w:style>
  <w:style w:type="character" w:customStyle="1" w:styleId="784">
    <w:name w:val="明显引用 字符1"/>
    <w:link w:val="1"/>
    <w:qFormat/>
    <w:uiPriority w:val="0"/>
    <w:rPr>
      <w:b/>
      <w:bCs/>
      <w:i/>
      <w:iCs/>
      <w:color w:val="4F81BD"/>
      <w:sz w:val="21"/>
      <w:szCs w:val="22"/>
    </w:rPr>
  </w:style>
  <w:style w:type="character" w:customStyle="1" w:styleId="785">
    <w:name w:val="页眉 字符1"/>
    <w:link w:val="1"/>
    <w:qFormat/>
    <w:uiPriority w:val="0"/>
    <w:rPr>
      <w:sz w:val="18"/>
      <w:szCs w:val="18"/>
    </w:rPr>
  </w:style>
  <w:style w:type="character" w:customStyle="1" w:styleId="786">
    <w:name w:val="Char Char31"/>
    <w:link w:val="1"/>
    <w:qFormat/>
    <w:uiPriority w:val="0"/>
    <w:rPr>
      <w:rFonts w:hint="eastAsia" w:ascii="幼圆" w:hAnsi="华文细黑" w:eastAsia="幼圆" w:cs="Tahoma"/>
      <w:b/>
      <w:bCs/>
      <w:sz w:val="24"/>
      <w:szCs w:val="24"/>
      <w:lang w:val="en-US" w:eastAsia="zh-CN" w:bidi="ar-SA"/>
    </w:rPr>
  </w:style>
  <w:style w:type="character" w:customStyle="1" w:styleId="787">
    <w:name w:val="文档结构图 Char2"/>
    <w:link w:val="1"/>
    <w:semiHidden/>
    <w:qFormat/>
    <w:uiPriority w:val="99"/>
    <w:rPr>
      <w:rFonts w:hint="eastAsia" w:ascii="宋体" w:hAnsi="Times New Roman" w:eastAsia="宋体" w:cs="Times New Roman"/>
      <w:sz w:val="18"/>
      <w:szCs w:val="18"/>
    </w:rPr>
  </w:style>
  <w:style w:type="character" w:customStyle="1" w:styleId="788">
    <w:name w:val="font141"/>
    <w:link w:val="1"/>
    <w:qFormat/>
    <w:uiPriority w:val="0"/>
    <w:rPr>
      <w:rFonts w:ascii="Times New Roman" w:hAnsi="Times New Roman" w:cs="Times New Roman"/>
      <w:color w:val="FF0000"/>
      <w:sz w:val="21"/>
      <w:szCs w:val="21"/>
      <w:u w:val="none"/>
    </w:rPr>
  </w:style>
  <w:style w:type="character" w:customStyle="1" w:styleId="789">
    <w:name w:val="正文文本首行缩进 2 字符1"/>
    <w:link w:val="1"/>
    <w:qFormat/>
    <w:uiPriority w:val="0"/>
    <w:rPr>
      <w:rFonts w:ascii="Cambria" w:hAnsi="Cambria" w:eastAsia="华文细黑" w:cs="Cambria"/>
      <w:sz w:val="21"/>
    </w:rPr>
  </w:style>
  <w:style w:type="character" w:customStyle="1" w:styleId="790">
    <w:name w:val="纯文本 字符1"/>
    <w:link w:val="1"/>
    <w:qFormat/>
    <w:uiPriority w:val="0"/>
    <w:rPr>
      <w:rFonts w:hint="eastAsia" w:ascii="宋体" w:hAnsi="Courier New" w:eastAsia="宋体"/>
      <w:sz w:val="21"/>
      <w:szCs w:val="21"/>
    </w:rPr>
  </w:style>
  <w:style w:type="character" w:customStyle="1" w:styleId="791">
    <w:name w:val="Char Char25"/>
    <w:link w:val="1"/>
    <w:semiHidden/>
    <w:qFormat/>
    <w:uiPriority w:val="0"/>
    <w:rPr>
      <w:rFonts w:hint="eastAsia" w:ascii="华文细黑" w:hAnsi="华文细黑" w:eastAsia="华文细黑"/>
      <w:sz w:val="21"/>
      <w:szCs w:val="24"/>
      <w:lang w:val="en-US" w:eastAsia="zh-CN" w:bidi="ar-SA"/>
    </w:rPr>
  </w:style>
  <w:style w:type="character" w:customStyle="1" w:styleId="792">
    <w:name w:val="批注文字 字符1"/>
    <w:link w:val="1"/>
    <w:semiHidden/>
    <w:qFormat/>
    <w:uiPriority w:val="99"/>
    <w:rPr>
      <w:rFonts w:ascii="Times New Roman" w:hAnsi="Times New Roman" w:eastAsia="宋体" w:cs="Times New Roman"/>
      <w:szCs w:val="24"/>
    </w:rPr>
  </w:style>
  <w:style w:type="character" w:customStyle="1" w:styleId="793">
    <w:name w:val="普通(网站) 字符"/>
    <w:link w:val="1"/>
    <w:qFormat/>
    <w:uiPriority w:val="99"/>
    <w:rPr>
      <w:rFonts w:hint="eastAsia" w:ascii="宋体" w:hAnsi="宋体" w:eastAsia="宋体"/>
      <w:sz w:val="24"/>
      <w:szCs w:val="24"/>
    </w:rPr>
  </w:style>
  <w:style w:type="character" w:customStyle="1" w:styleId="794">
    <w:name w:val="标题 9 字符1"/>
    <w:link w:val="1"/>
    <w:semiHidden/>
    <w:qFormat/>
    <w:uiPriority w:val="99"/>
    <w:rPr>
      <w:rFonts w:ascii="Arial" w:hAnsi="Arial" w:eastAsia="黑体" w:cs="Times New Roman"/>
      <w:sz w:val="21"/>
      <w:szCs w:val="24"/>
    </w:rPr>
  </w:style>
  <w:style w:type="character" w:customStyle="1" w:styleId="795">
    <w:name w:val="标题 7 字符1"/>
    <w:link w:val="1"/>
    <w:semiHidden/>
    <w:qFormat/>
    <w:uiPriority w:val="99"/>
    <w:rPr>
      <w:rFonts w:ascii="Times New Roman" w:hAnsi="Times New Roman" w:eastAsia="宋体" w:cs="Times New Roman"/>
      <w:b/>
      <w:sz w:val="24"/>
      <w:szCs w:val="24"/>
    </w:rPr>
  </w:style>
  <w:style w:type="character" w:customStyle="1" w:styleId="796">
    <w:name w:val="批注框文本 字符1"/>
    <w:link w:val="1"/>
    <w:semiHidden/>
    <w:qFormat/>
    <w:uiPriority w:val="99"/>
    <w:rPr>
      <w:rFonts w:ascii="Times New Roman" w:hAnsi="Times New Roman" w:eastAsia="宋体" w:cs="Times New Roman"/>
      <w:sz w:val="18"/>
      <w:szCs w:val="18"/>
    </w:rPr>
  </w:style>
  <w:style w:type="character" w:customStyle="1" w:styleId="797">
    <w:name w:val="结束语 字符1"/>
    <w:link w:val="1"/>
    <w:qFormat/>
    <w:uiPriority w:val="0"/>
    <w:rPr>
      <w:sz w:val="28"/>
      <w:szCs w:val="24"/>
    </w:rPr>
  </w:style>
  <w:style w:type="character" w:customStyle="1" w:styleId="798">
    <w:name w:val="文档结构图 字符1"/>
    <w:link w:val="1"/>
    <w:qFormat/>
    <w:uiPriority w:val="0"/>
    <w:rPr>
      <w:sz w:val="21"/>
      <w:szCs w:val="24"/>
      <w:shd w:val="clear" w:color="auto" w:fill="000080"/>
    </w:rPr>
  </w:style>
  <w:style w:type="character" w:customStyle="1" w:styleId="799">
    <w:name w:val="正文文本 字符1"/>
    <w:link w:val="1"/>
    <w:semiHidden/>
    <w:qFormat/>
    <w:uiPriority w:val="99"/>
    <w:rPr>
      <w:rFonts w:ascii="仿宋_GB2312" w:hAnsi="Times New Roman" w:eastAsia="仿宋_GB2312" w:cs="Times New Roman"/>
      <w:sz w:val="28"/>
    </w:rPr>
  </w:style>
  <w:style w:type="character" w:customStyle="1" w:styleId="800">
    <w:name w:val="标题 2 字符1"/>
    <w:link w:val="1"/>
    <w:semiHidden/>
    <w:qFormat/>
    <w:uiPriority w:val="0"/>
    <w:rPr>
      <w:rFonts w:ascii="Arial" w:hAnsi="Arial" w:eastAsia="黑体" w:cs="Times New Roman"/>
      <w:b/>
      <w:bCs/>
      <w:sz w:val="32"/>
      <w:szCs w:val="32"/>
    </w:rPr>
  </w:style>
  <w:style w:type="character" w:customStyle="1" w:styleId="801">
    <w:name w:val="font101"/>
    <w:link w:val="1"/>
    <w:qFormat/>
    <w:uiPriority w:val="0"/>
    <w:rPr>
      <w:rFonts w:ascii="Times New Roman" w:hAnsi="Times New Roman" w:cs="Times New Roman"/>
      <w:color w:val="000000"/>
      <w:sz w:val="24"/>
      <w:szCs w:val="24"/>
      <w:u w:val="none"/>
    </w:rPr>
  </w:style>
  <w:style w:type="character" w:customStyle="1" w:styleId="802">
    <w:name w:val="引用 Char2"/>
    <w:link w:val="1"/>
    <w:qFormat/>
    <w:uiPriority w:val="0"/>
    <w:rPr>
      <w:rFonts w:ascii="Times New Roman" w:hAnsi="Times New Roman" w:eastAsia="宋体" w:cs="Times New Roman"/>
      <w:i/>
      <w:iCs/>
      <w:color w:val="000000"/>
      <w:szCs w:val="24"/>
    </w:rPr>
  </w:style>
  <w:style w:type="character" w:customStyle="1" w:styleId="803">
    <w:name w:val="标题 5 字符1"/>
    <w:link w:val="1"/>
    <w:semiHidden/>
    <w:qFormat/>
    <w:uiPriority w:val="0"/>
    <w:rPr>
      <w:rFonts w:ascii="黑体" w:hAnsi="Times New Roman" w:eastAsia="黑体" w:cs="宋体"/>
      <w:b/>
      <w:bCs/>
      <w:sz w:val="28"/>
      <w:szCs w:val="28"/>
    </w:rPr>
  </w:style>
  <w:style w:type="character" w:customStyle="1" w:styleId="804">
    <w:name w:val="日期 Char2"/>
    <w:link w:val="1"/>
    <w:semiHidden/>
    <w:qFormat/>
    <w:uiPriority w:val="99"/>
    <w:rPr>
      <w:rFonts w:ascii="Times New Roman" w:hAnsi="Times New Roman" w:eastAsia="宋体" w:cs="Times New Roman"/>
      <w:szCs w:val="24"/>
    </w:rPr>
  </w:style>
  <w:style w:type="character" w:customStyle="1" w:styleId="805">
    <w:name w:val="正文文本 Char2"/>
    <w:link w:val="1"/>
    <w:semiHidden/>
    <w:qFormat/>
    <w:uiPriority w:val="99"/>
    <w:rPr>
      <w:rFonts w:ascii="Times New Roman" w:hAnsi="Times New Roman" w:eastAsia="宋体" w:cs="Times New Roman"/>
      <w:szCs w:val="24"/>
    </w:rPr>
  </w:style>
  <w:style w:type="character" w:customStyle="1" w:styleId="806">
    <w:name w:val="批注文字 字符2"/>
    <w:link w:val="1"/>
    <w:semiHidden/>
    <w:qFormat/>
    <w:uiPriority w:val="99"/>
    <w:rPr>
      <w:rFonts w:ascii="Times New Roman" w:hAnsi="Times New Roman" w:eastAsia="宋体" w:cs="Times New Roman"/>
      <w:sz w:val="21"/>
      <w:szCs w:val="24"/>
    </w:rPr>
  </w:style>
  <w:style w:type="character" w:customStyle="1" w:styleId="807">
    <w:name w:val="结束语 Char2"/>
    <w:link w:val="1"/>
    <w:semiHidden/>
    <w:qFormat/>
    <w:uiPriority w:val="99"/>
    <w:rPr>
      <w:rFonts w:ascii="Times New Roman" w:hAnsi="Times New Roman" w:eastAsia="宋体" w:cs="Times New Roman"/>
      <w:szCs w:val="24"/>
    </w:rPr>
  </w:style>
  <w:style w:type="character" w:customStyle="1" w:styleId="808">
    <w:name w:val="脚注文本 Char2"/>
    <w:link w:val="1"/>
    <w:semiHidden/>
    <w:qFormat/>
    <w:uiPriority w:val="99"/>
    <w:rPr>
      <w:rFonts w:ascii="Times New Roman" w:hAnsi="Times New Roman" w:eastAsia="宋体" w:cs="Times New Roman"/>
      <w:sz w:val="18"/>
      <w:szCs w:val="18"/>
    </w:rPr>
  </w:style>
  <w:style w:type="character" w:customStyle="1" w:styleId="809">
    <w:name w:val="正文首行缩进 2 Char1"/>
    <w:link w:val="1"/>
    <w:semiHidden/>
    <w:qFormat/>
    <w:uiPriority w:val="99"/>
  </w:style>
  <w:style w:type="character" w:customStyle="1" w:styleId="810">
    <w:name w:val="正文文本缩进 3 Char1"/>
    <w:link w:val="1"/>
    <w:semiHidden/>
    <w:qFormat/>
    <w:uiPriority w:val="99"/>
    <w:rPr>
      <w:rFonts w:ascii="Times New Roman" w:hAnsi="Times New Roman" w:eastAsia="宋体" w:cs="Times New Roman"/>
      <w:sz w:val="16"/>
      <w:szCs w:val="16"/>
    </w:rPr>
  </w:style>
  <w:style w:type="character" w:customStyle="1" w:styleId="811">
    <w:name w:val="标题 字符1"/>
    <w:link w:val="1"/>
    <w:qFormat/>
    <w:uiPriority w:val="0"/>
    <w:rPr>
      <w:rFonts w:ascii="Arial" w:hAnsi="Arial" w:cs="Arial"/>
      <w:b/>
      <w:bCs/>
      <w:sz w:val="32"/>
      <w:szCs w:val="32"/>
    </w:rPr>
  </w:style>
  <w:style w:type="character" w:customStyle="1" w:styleId="812">
    <w:name w:val="正文文本缩进 Char2"/>
    <w:link w:val="1"/>
    <w:qFormat/>
    <w:uiPriority w:val="0"/>
    <w:rPr>
      <w:rFonts w:ascii="Times New Roman" w:hAnsi="Times New Roman" w:eastAsia="宋体" w:cs="Times New Roman"/>
      <w:szCs w:val="24"/>
    </w:rPr>
  </w:style>
  <w:style w:type="character" w:customStyle="1" w:styleId="813">
    <w:name w:val="脚注文本 字符1"/>
    <w:link w:val="1"/>
    <w:semiHidden/>
    <w:qFormat/>
    <w:uiPriority w:val="99"/>
    <w:rPr>
      <w:rFonts w:ascii="Times New Roman" w:hAnsi="Times New Roman" w:eastAsia="宋体" w:cs="Times New Roman"/>
      <w:sz w:val="18"/>
      <w:szCs w:val="18"/>
    </w:rPr>
  </w:style>
  <w:style w:type="character" w:customStyle="1" w:styleId="814">
    <w:name w:val="标题 4 字符1"/>
    <w:link w:val="1"/>
    <w:semiHidden/>
    <w:qFormat/>
    <w:uiPriority w:val="0"/>
    <w:rPr>
      <w:rFonts w:ascii="Arial" w:hAnsi="Arial" w:eastAsia="黑体" w:cs="Times New Roman"/>
      <w:b/>
      <w:bCs/>
      <w:sz w:val="28"/>
      <w:szCs w:val="28"/>
    </w:rPr>
  </w:style>
  <w:style w:type="character" w:customStyle="1" w:styleId="815">
    <w:name w:val="标题 8 字符1"/>
    <w:link w:val="1"/>
    <w:semiHidden/>
    <w:qFormat/>
    <w:uiPriority w:val="99"/>
    <w:rPr>
      <w:rFonts w:ascii="Arial" w:hAnsi="Arial" w:eastAsia="黑体" w:cs="Times New Roman"/>
      <w:sz w:val="24"/>
      <w:szCs w:val="24"/>
    </w:rPr>
  </w:style>
  <w:style w:type="character" w:customStyle="1" w:styleId="816">
    <w:name w:val="标题 3 字符1"/>
    <w:link w:val="1"/>
    <w:semiHidden/>
    <w:qFormat/>
    <w:uiPriority w:val="0"/>
    <w:rPr>
      <w:rFonts w:ascii="黑体" w:hAnsi="Times New Roman" w:eastAsia="黑体" w:cs="宋体"/>
      <w:b/>
      <w:bCs/>
      <w:sz w:val="32"/>
      <w:szCs w:val="32"/>
    </w:rPr>
  </w:style>
  <w:style w:type="character" w:customStyle="1" w:styleId="817">
    <w:name w:val="正文文本 2 字符1"/>
    <w:link w:val="1"/>
    <w:qFormat/>
    <w:uiPriority w:val="0"/>
    <w:rPr>
      <w:rFonts w:ascii="Times New Roman" w:hAnsi="Times New Roman" w:eastAsia="宋体" w:cs="Times New Roman"/>
      <w:sz w:val="30"/>
      <w:szCs w:val="24"/>
    </w:rPr>
  </w:style>
  <w:style w:type="character" w:customStyle="1" w:styleId="818">
    <w:name w:val="正文文本 2 Char1"/>
    <w:link w:val="1"/>
    <w:qFormat/>
    <w:uiPriority w:val="0"/>
    <w:rPr>
      <w:rFonts w:ascii="Times New Roman" w:hAnsi="Times New Roman" w:eastAsia="宋体" w:cs="Times New Roman"/>
      <w:szCs w:val="24"/>
    </w:rPr>
  </w:style>
  <w:style w:type="character" w:customStyle="1" w:styleId="819">
    <w:name w:val="Char Char Char1"/>
    <w:link w:val="1"/>
    <w:qFormat/>
    <w:uiPriority w:val="0"/>
    <w:rPr>
      <w:rFonts w:hint="eastAsia" w:ascii="宋体" w:hAnsi="宋体" w:eastAsia="宋体"/>
      <w:b/>
      <w:sz w:val="24"/>
      <w:lang w:val="en-US" w:eastAsia="zh-CN" w:bidi="ar-SA"/>
    </w:rPr>
  </w:style>
  <w:style w:type="character" w:customStyle="1" w:styleId="820">
    <w:name w:val="批注框文本 Char2"/>
    <w:link w:val="1"/>
    <w:semiHidden/>
    <w:qFormat/>
    <w:uiPriority w:val="99"/>
    <w:rPr>
      <w:rFonts w:ascii="Times New Roman" w:hAnsi="Times New Roman" w:eastAsia="宋体" w:cs="Times New Roman"/>
      <w:sz w:val="18"/>
      <w:szCs w:val="18"/>
    </w:rPr>
  </w:style>
  <w:style w:type="character" w:customStyle="1" w:styleId="821">
    <w:name w:val="引用 字符1"/>
    <w:link w:val="1"/>
    <w:qFormat/>
    <w:uiPriority w:val="0"/>
    <w:rPr>
      <w:i/>
      <w:iCs/>
      <w:color w:val="000000"/>
      <w:sz w:val="21"/>
      <w:szCs w:val="22"/>
    </w:rPr>
  </w:style>
  <w:style w:type="character" w:customStyle="1" w:styleId="822">
    <w:name w:val="正文文本 3 Char1"/>
    <w:link w:val="1"/>
    <w:semiHidden/>
    <w:qFormat/>
    <w:uiPriority w:val="99"/>
    <w:rPr>
      <w:rFonts w:ascii="Times New Roman" w:hAnsi="Times New Roman" w:eastAsia="宋体" w:cs="Times New Roman"/>
      <w:sz w:val="16"/>
      <w:szCs w:val="16"/>
    </w:rPr>
  </w:style>
  <w:style w:type="character" w:customStyle="1" w:styleId="823">
    <w:name w:val="批注主题 Char2"/>
    <w:link w:val="1"/>
    <w:qFormat/>
    <w:uiPriority w:val="0"/>
    <w:rPr>
      <w:rFonts w:ascii="Times New Roman" w:hAnsi="Times New Roman" w:eastAsia="宋体" w:cs="Times New Roman"/>
      <w:b/>
      <w:bCs/>
      <w:szCs w:val="24"/>
    </w:rPr>
  </w:style>
  <w:style w:type="character" w:customStyle="1" w:styleId="824">
    <w:name w:val="Char Char41"/>
    <w:link w:val="1"/>
    <w:qFormat/>
    <w:uiPriority w:val="0"/>
    <w:rPr>
      <w:rFonts w:hint="eastAsia" w:ascii="华文细黑" w:hAnsi="华文细黑" w:eastAsia="幼圆" w:cs="Tahoma"/>
      <w:b/>
      <w:sz w:val="28"/>
      <w:szCs w:val="32"/>
      <w:lang w:val="en-US" w:eastAsia="zh-CN" w:bidi="ar-SA"/>
    </w:rPr>
  </w:style>
  <w:style w:type="character" w:customStyle="1" w:styleId="825">
    <w:name w:val="bookmark-item"/>
    <w:link w:val="1"/>
    <w:qFormat/>
    <w:uiPriority w:val="0"/>
  </w:style>
  <w:style w:type="character" w:customStyle="1" w:styleId="826">
    <w:name w:val="副标题 Char2"/>
    <w:link w:val="1"/>
    <w:qFormat/>
    <w:uiPriority w:val="0"/>
    <w:rPr>
      <w:rFonts w:ascii="Cambria" w:hAnsi="Cambria" w:eastAsia="宋体" w:cs="Times New Roman"/>
      <w:b/>
      <w:bCs/>
      <w:sz w:val="32"/>
      <w:szCs w:val="32"/>
    </w:rPr>
  </w:style>
  <w:style w:type="character" w:customStyle="1" w:styleId="827">
    <w:name w:val="HTML 预设格式 字符1"/>
    <w:link w:val="1"/>
    <w:qFormat/>
    <w:uiPriority w:val="99"/>
    <w:rPr>
      <w:rFonts w:hint="eastAsia" w:ascii="黑体" w:hAnsi="Courier New" w:eastAsia="黑体"/>
    </w:rPr>
  </w:style>
  <w:style w:type="character" w:customStyle="1" w:styleId="828">
    <w:name w:val="Char Char11"/>
    <w:link w:val="1"/>
    <w:qFormat/>
    <w:uiPriority w:val="0"/>
    <w:rPr>
      <w:rFonts w:hint="eastAsia" w:ascii="幼圆" w:hAnsi="Tahoma" w:eastAsia="幼圆" w:cs="Tahoma"/>
      <w:b/>
      <w:bCs/>
      <w:sz w:val="32"/>
      <w:szCs w:val="32"/>
      <w:lang w:val="en-US" w:eastAsia="zh-CN" w:bidi="ar-SA"/>
    </w:rPr>
  </w:style>
  <w:style w:type="character" w:customStyle="1" w:styleId="829">
    <w:name w:val="正文文本缩进 2 字符1"/>
    <w:link w:val="1"/>
    <w:semiHidden/>
    <w:qFormat/>
    <w:uiPriority w:val="99"/>
    <w:rPr>
      <w:rFonts w:hAnsi="Times New Roman" w:eastAsia="楷体_GB2312" w:cs="Times New Roman"/>
      <w:sz w:val="24"/>
      <w:szCs w:val="24"/>
    </w:rPr>
  </w:style>
  <w:style w:type="character" w:customStyle="1" w:styleId="830">
    <w:name w:val="font151"/>
    <w:link w:val="1"/>
    <w:qFormat/>
    <w:uiPriority w:val="0"/>
    <w:rPr>
      <w:rFonts w:hint="eastAsia" w:ascii="宋体" w:hAnsi="宋体" w:eastAsia="宋体" w:cs="宋体"/>
      <w:color w:val="FFC000"/>
      <w:sz w:val="21"/>
      <w:szCs w:val="21"/>
      <w:u w:val="none"/>
    </w:rPr>
  </w:style>
  <w:style w:type="character" w:customStyle="1" w:styleId="831">
    <w:name w:val="font71"/>
    <w:link w:val="1"/>
    <w:qFormat/>
    <w:uiPriority w:val="0"/>
    <w:rPr>
      <w:rFonts w:hint="eastAsia" w:ascii="宋体" w:hAnsi="宋体" w:eastAsia="宋体" w:cs="宋体"/>
      <w:color w:val="000000"/>
      <w:sz w:val="21"/>
      <w:szCs w:val="21"/>
      <w:u w:val="none"/>
    </w:rPr>
  </w:style>
  <w:style w:type="character" w:customStyle="1" w:styleId="832">
    <w:name w:val="标题 6 字符1"/>
    <w:link w:val="1"/>
    <w:semiHidden/>
    <w:qFormat/>
    <w:uiPriority w:val="0"/>
    <w:rPr>
      <w:rFonts w:ascii="Arial" w:hAnsi="Arial" w:eastAsia="黑体" w:cs="Times New Roman"/>
      <w:b/>
      <w:sz w:val="24"/>
      <w:szCs w:val="24"/>
    </w:rPr>
  </w:style>
  <w:style w:type="character" w:customStyle="1" w:styleId="833">
    <w:name w:val="正文文本缩进 字符1"/>
    <w:link w:val="1"/>
    <w:qFormat/>
    <w:uiPriority w:val="0"/>
    <w:rPr>
      <w:rFonts w:hint="eastAsia" w:ascii="仿宋_GB2312" w:eastAsia="仿宋_GB2312"/>
      <w:sz w:val="28"/>
    </w:rPr>
  </w:style>
  <w:style w:type="character" w:customStyle="1" w:styleId="834">
    <w:name w:val="正文文本 3 字符1"/>
    <w:link w:val="1"/>
    <w:qFormat/>
    <w:uiPriority w:val="0"/>
    <w:rPr>
      <w:b/>
      <w:bCs/>
      <w:sz w:val="24"/>
      <w:szCs w:val="24"/>
    </w:rPr>
  </w:style>
  <w:style w:type="character" w:customStyle="1" w:styleId="835">
    <w:name w:val="正文缩进 字符"/>
    <w:link w:val="1"/>
    <w:qFormat/>
    <w:uiPriority w:val="0"/>
    <w:rPr>
      <w:rFonts w:ascii="Times New Roman" w:hAnsi="Times New Roman" w:eastAsia="宋体" w:cs="Times New Roman"/>
      <w:sz w:val="20"/>
      <w:szCs w:val="20"/>
    </w:rPr>
  </w:style>
  <w:style w:type="character" w:customStyle="1" w:styleId="836">
    <w:name w:val="副标题 字符1"/>
    <w:link w:val="1"/>
    <w:qFormat/>
    <w:uiPriority w:val="0"/>
    <w:rPr>
      <w:rFonts w:hint="eastAsia" w:ascii="幼圆" w:hAnsi="幼圆" w:eastAsia="幼圆"/>
      <w:b/>
      <w:bCs/>
      <w:sz w:val="32"/>
      <w:szCs w:val="32"/>
    </w:rPr>
  </w:style>
  <w:style w:type="character" w:customStyle="1" w:styleId="837">
    <w:name w:val="font121"/>
    <w:link w:val="1"/>
    <w:qFormat/>
    <w:uiPriority w:val="0"/>
    <w:rPr>
      <w:rFonts w:hint="eastAsia" w:ascii="宋体" w:hAnsi="宋体" w:eastAsia="宋体" w:cs="宋体"/>
      <w:color w:val="000000"/>
      <w:sz w:val="21"/>
      <w:szCs w:val="21"/>
      <w:u w:val="none"/>
    </w:rPr>
  </w:style>
  <w:style w:type="character" w:customStyle="1" w:styleId="838">
    <w:name w:val="标题 1 字符1"/>
    <w:link w:val="1"/>
    <w:qFormat/>
    <w:uiPriority w:val="0"/>
    <w:rPr>
      <w:rFonts w:ascii="黑体" w:hAnsi="Times New Roman" w:eastAsia="黑体" w:cs="宋体"/>
      <w:b/>
      <w:bCs/>
      <w:sz w:val="44"/>
      <w:szCs w:val="44"/>
    </w:rPr>
  </w:style>
  <w:style w:type="character" w:customStyle="1" w:styleId="839">
    <w:name w:val="正文文本缩进 2 Char1"/>
    <w:link w:val="1"/>
    <w:semiHidden/>
    <w:qFormat/>
    <w:uiPriority w:val="99"/>
    <w:rPr>
      <w:rFonts w:ascii="Times New Roman" w:hAnsi="Times New Roman" w:eastAsia="宋体" w:cs="Times New Roman"/>
      <w:szCs w:val="24"/>
    </w:rPr>
  </w:style>
  <w:style w:type="character" w:customStyle="1" w:styleId="840">
    <w:name w:val="明显引用 Char2"/>
    <w:link w:val="1"/>
    <w:qFormat/>
    <w:uiPriority w:val="0"/>
    <w:rPr>
      <w:rFonts w:ascii="Times New Roman" w:hAnsi="Times New Roman" w:eastAsia="宋体" w:cs="Times New Roman"/>
      <w:b/>
      <w:bCs/>
      <w:i/>
      <w:iCs/>
      <w:color w:val="4F81BD"/>
      <w:szCs w:val="24"/>
    </w:rPr>
  </w:style>
  <w:style w:type="character" w:customStyle="1" w:styleId="841">
    <w:name w:val="称呼 字符1"/>
    <w:link w:val="1"/>
    <w:semiHidden/>
    <w:qFormat/>
    <w:uiPriority w:val="99"/>
    <w:rPr>
      <w:rFonts w:ascii="Times New Roman" w:hAnsi="Times New Roman" w:eastAsia="宋体" w:cs="Times New Roman"/>
      <w:sz w:val="28"/>
      <w:szCs w:val="24"/>
    </w:rPr>
  </w:style>
  <w:style w:type="character" w:customStyle="1" w:styleId="842">
    <w:name w:val="font81"/>
    <w:link w:val="1"/>
    <w:qFormat/>
    <w:uiPriority w:val="0"/>
    <w:rPr>
      <w:rFonts w:hint="eastAsia" w:ascii="宋体" w:hAnsi="宋体" w:eastAsia="宋体" w:cs="宋体"/>
      <w:color w:val="000000"/>
      <w:sz w:val="24"/>
      <w:szCs w:val="24"/>
      <w:u w:val="none"/>
    </w:rPr>
  </w:style>
  <w:style w:type="character" w:customStyle="1" w:styleId="843">
    <w:name w:val="font171"/>
    <w:link w:val="1"/>
    <w:qFormat/>
    <w:uiPriority w:val="0"/>
    <w:rPr>
      <w:rFonts w:ascii="Times New Roman" w:hAnsi="Times New Roman" w:cs="Times New Roman"/>
      <w:color w:val="000000"/>
      <w:sz w:val="21"/>
      <w:szCs w:val="21"/>
      <w:u w:val="none"/>
    </w:rPr>
  </w:style>
  <w:style w:type="character" w:customStyle="1" w:styleId="844">
    <w:name w:val="批注主题 字符1"/>
    <w:link w:val="1"/>
    <w:semiHidden/>
    <w:qFormat/>
    <w:uiPriority w:val="99"/>
    <w:rPr>
      <w:rFonts w:ascii="Times New Roman" w:hAnsi="Times New Roman" w:eastAsia="宋体" w:cs="Times New Roman"/>
      <w:b/>
      <w:bCs/>
      <w:sz w:val="21"/>
      <w:szCs w:val="24"/>
    </w:rPr>
  </w:style>
  <w:style w:type="character" w:customStyle="1" w:styleId="845">
    <w:name w:val="HTML 预设格式 Char2"/>
    <w:link w:val="1"/>
    <w:semiHidden/>
    <w:qFormat/>
    <w:uiPriority w:val="99"/>
    <w:rPr>
      <w:rFonts w:ascii="Courier New" w:hAnsi="Courier New" w:eastAsia="宋体" w:cs="Courier New"/>
      <w:sz w:val="20"/>
      <w:szCs w:val="20"/>
    </w:rPr>
  </w:style>
  <w:style w:type="character" w:customStyle="1" w:styleId="846">
    <w:name w:val="日期 字符1"/>
    <w:link w:val="1"/>
    <w:semiHidden/>
    <w:qFormat/>
    <w:uiPriority w:val="99"/>
    <w:rPr>
      <w:rFonts w:hAnsi="Times New Roman" w:eastAsia="楷体_GB2312" w:cs="Times New Roman"/>
      <w:b/>
      <w:sz w:val="28"/>
      <w:szCs w:val="24"/>
    </w:rPr>
  </w:style>
  <w:style w:type="character" w:customStyle="1" w:styleId="847">
    <w:name w:val="页脚 字符1"/>
    <w:link w:val="1"/>
    <w:semiHidden/>
    <w:qFormat/>
    <w:uiPriority w:val="99"/>
    <w:rPr>
      <w:rFonts w:ascii="Times New Roman" w:hAnsi="Times New Roman" w:eastAsia="宋体" w:cs="Times New Roman"/>
      <w:sz w:val="18"/>
      <w:szCs w:val="18"/>
    </w:rPr>
  </w:style>
  <w:style w:type="character" w:customStyle="1" w:styleId="848">
    <w:name w:val="正文文本缩进 字符2"/>
    <w:link w:val="1"/>
    <w:semiHidden/>
    <w:qFormat/>
    <w:uiPriority w:val="99"/>
    <w:rPr>
      <w:rFonts w:ascii="仿宋_GB2312" w:hAnsi="Times New Roman" w:eastAsia="仿宋_GB2312" w:cs="Times New Roman"/>
      <w:sz w:val="28"/>
    </w:rPr>
  </w:style>
  <w:style w:type="character" w:customStyle="1" w:styleId="849">
    <w:name w:val="纯文本 字符2"/>
    <w:link w:val="1"/>
    <w:semiHidden/>
    <w:qFormat/>
    <w:uiPriority w:val="99"/>
    <w:rPr>
      <w:rFonts w:hint="eastAsia" w:ascii="等线" w:hAnsi="Courier New" w:eastAsia="等线" w:cs="Courier New"/>
      <w:sz w:val="21"/>
      <w:szCs w:val="24"/>
    </w:rPr>
  </w:style>
  <w:style w:type="character" w:customStyle="1" w:styleId="850">
    <w:name w:val="正文文本缩进 2 字符2"/>
    <w:link w:val="1"/>
    <w:semiHidden/>
    <w:qFormat/>
    <w:uiPriority w:val="99"/>
    <w:rPr>
      <w:sz w:val="21"/>
      <w:szCs w:val="24"/>
    </w:rPr>
  </w:style>
  <w:style w:type="character" w:customStyle="1" w:styleId="851">
    <w:name w:val="正文文本缩进 字符3"/>
    <w:link w:val="1"/>
    <w:semiHidden/>
    <w:qFormat/>
    <w:uiPriority w:val="99"/>
    <w:rPr>
      <w:sz w:val="21"/>
      <w:szCs w:val="24"/>
    </w:rPr>
  </w:style>
  <w:style w:type="character" w:customStyle="1" w:styleId="852">
    <w:name w:val="正文文本 字符2"/>
    <w:link w:val="1"/>
    <w:semiHidden/>
    <w:qFormat/>
    <w:uiPriority w:val="99"/>
    <w:rPr>
      <w:sz w:val="21"/>
      <w:szCs w:val="24"/>
    </w:rPr>
  </w:style>
  <w:style w:type="character" w:customStyle="1" w:styleId="853">
    <w:name w:val="脚注文本 字符2"/>
    <w:link w:val="1"/>
    <w:semiHidden/>
    <w:qFormat/>
    <w:uiPriority w:val="99"/>
    <w:rPr>
      <w:sz w:val="18"/>
      <w:szCs w:val="18"/>
    </w:rPr>
  </w:style>
  <w:style w:type="character" w:customStyle="1" w:styleId="854">
    <w:name w:val="页眉 字符2"/>
    <w:link w:val="1"/>
    <w:semiHidden/>
    <w:qFormat/>
    <w:uiPriority w:val="99"/>
    <w:rPr>
      <w:sz w:val="18"/>
      <w:szCs w:val="18"/>
    </w:rPr>
  </w:style>
  <w:style w:type="character" w:customStyle="1" w:styleId="855">
    <w:name w:val="结束语 字符2"/>
    <w:link w:val="1"/>
    <w:semiHidden/>
    <w:qFormat/>
    <w:uiPriority w:val="99"/>
    <w:rPr>
      <w:sz w:val="21"/>
      <w:szCs w:val="24"/>
    </w:rPr>
  </w:style>
  <w:style w:type="character" w:customStyle="1" w:styleId="856">
    <w:name w:val="正文文本缩进 3 字符2"/>
    <w:link w:val="1"/>
    <w:semiHidden/>
    <w:qFormat/>
    <w:uiPriority w:val="99"/>
    <w:rPr>
      <w:sz w:val="16"/>
      <w:szCs w:val="16"/>
    </w:rPr>
  </w:style>
  <w:style w:type="character" w:customStyle="1" w:styleId="857">
    <w:name w:val="页脚 字符2"/>
    <w:link w:val="1"/>
    <w:semiHidden/>
    <w:qFormat/>
    <w:uiPriority w:val="99"/>
    <w:rPr>
      <w:sz w:val="18"/>
      <w:szCs w:val="18"/>
    </w:rPr>
  </w:style>
  <w:style w:type="character" w:customStyle="1" w:styleId="858">
    <w:name w:val="日期 字符2"/>
    <w:link w:val="1"/>
    <w:semiHidden/>
    <w:qFormat/>
    <w:uiPriority w:val="99"/>
    <w:rPr>
      <w:sz w:val="21"/>
      <w:szCs w:val="24"/>
    </w:rPr>
  </w:style>
  <w:style w:type="character" w:customStyle="1" w:styleId="859">
    <w:name w:val="正文文本 3 字符2"/>
    <w:link w:val="1"/>
    <w:semiHidden/>
    <w:qFormat/>
    <w:uiPriority w:val="99"/>
    <w:rPr>
      <w:sz w:val="16"/>
      <w:szCs w:val="16"/>
    </w:rPr>
  </w:style>
  <w:style w:type="character" w:customStyle="1" w:styleId="860">
    <w:name w:val="称呼 字符2"/>
    <w:link w:val="1"/>
    <w:semiHidden/>
    <w:qFormat/>
    <w:uiPriority w:val="99"/>
    <w:rPr>
      <w:sz w:val="21"/>
      <w:szCs w:val="24"/>
    </w:rPr>
  </w:style>
  <w:style w:type="character" w:customStyle="1" w:styleId="861">
    <w:name w:val="副标题 字符2"/>
    <w:link w:val="1"/>
    <w:qFormat/>
    <w:uiPriority w:val="11"/>
    <w:rPr>
      <w:rFonts w:hint="eastAsia" w:ascii="等线" w:hAnsi="等线" w:eastAsia="等线" w:cs="Times New Roman"/>
      <w:b/>
      <w:bCs/>
      <w:sz w:val="32"/>
      <w:szCs w:val="32"/>
    </w:rPr>
  </w:style>
  <w:style w:type="character" w:customStyle="1" w:styleId="862">
    <w:name w:val="批注文字 字符3"/>
    <w:link w:val="1"/>
    <w:semiHidden/>
    <w:qFormat/>
    <w:uiPriority w:val="99"/>
    <w:rPr>
      <w:sz w:val="21"/>
      <w:szCs w:val="24"/>
    </w:rPr>
  </w:style>
  <w:style w:type="character" w:customStyle="1" w:styleId="863">
    <w:name w:val="批注框文本 字符2"/>
    <w:link w:val="1"/>
    <w:semiHidden/>
    <w:qFormat/>
    <w:uiPriority w:val="99"/>
    <w:rPr>
      <w:sz w:val="18"/>
      <w:szCs w:val="18"/>
    </w:rPr>
  </w:style>
  <w:style w:type="character" w:customStyle="1" w:styleId="864">
    <w:name w:val="文档结构图 字符2"/>
    <w:link w:val="1"/>
    <w:semiHidden/>
    <w:qFormat/>
    <w:uiPriority w:val="99"/>
    <w:rPr>
      <w:rFonts w:hint="eastAsia" w:ascii="Microsoft YaHei UI" w:hAnsi="Microsoft YaHei UI" w:eastAsia="Microsoft YaHei UI"/>
      <w:sz w:val="18"/>
      <w:szCs w:val="18"/>
    </w:rPr>
  </w:style>
  <w:style w:type="character" w:customStyle="1" w:styleId="865">
    <w:name w:val="正文文本首行缩进 2 字符2"/>
    <w:link w:val="1"/>
    <w:semiHidden/>
    <w:qFormat/>
    <w:uiPriority w:val="99"/>
  </w:style>
  <w:style w:type="character" w:customStyle="1" w:styleId="866">
    <w:name w:val="批注主题 字符2"/>
    <w:link w:val="1"/>
    <w:semiHidden/>
    <w:qFormat/>
    <w:uiPriority w:val="99"/>
    <w:rPr>
      <w:b/>
      <w:bCs/>
      <w:sz w:val="21"/>
      <w:szCs w:val="24"/>
    </w:rPr>
  </w:style>
  <w:style w:type="character" w:customStyle="1" w:styleId="867">
    <w:name w:val="正文文本 2 字符2"/>
    <w:link w:val="1"/>
    <w:semiHidden/>
    <w:qFormat/>
    <w:uiPriority w:val="99"/>
    <w:rPr>
      <w:sz w:val="21"/>
      <w:szCs w:val="24"/>
    </w:rPr>
  </w:style>
  <w:style w:type="character" w:customStyle="1" w:styleId="868">
    <w:name w:val="HTML 预设格式 字符2"/>
    <w:link w:val="1"/>
    <w:semiHidden/>
    <w:qFormat/>
    <w:uiPriority w:val="99"/>
    <w:rPr>
      <w:rFonts w:ascii="Courier New" w:hAnsi="Courier New" w:cs="Courier New"/>
    </w:rPr>
  </w:style>
  <w:style w:type="character" w:customStyle="1" w:styleId="869">
    <w:name w:val="标题 字符2"/>
    <w:link w:val="1"/>
    <w:qFormat/>
    <w:uiPriority w:val="10"/>
    <w:rPr>
      <w:rFonts w:hint="eastAsia" w:ascii="等线 Light" w:hAnsi="等线 Light" w:eastAsia="等线 Light" w:cs="Times New Roman"/>
      <w:b/>
      <w:bCs/>
      <w:sz w:val="32"/>
      <w:szCs w:val="32"/>
    </w:rPr>
  </w:style>
  <w:style w:type="character" w:customStyle="1" w:styleId="870">
    <w:name w:val="明显引用 字符2"/>
    <w:link w:val="1"/>
    <w:qFormat/>
    <w:uiPriority w:val="30"/>
    <w:rPr>
      <w:i/>
      <w:iCs/>
      <w:color w:val="4472C4"/>
      <w:sz w:val="21"/>
      <w:szCs w:val="24"/>
    </w:rPr>
  </w:style>
  <w:style w:type="character" w:customStyle="1" w:styleId="871">
    <w:name w:val="引用 字符2"/>
    <w:link w:val="1"/>
    <w:qFormat/>
    <w:uiPriority w:val="29"/>
    <w:rPr>
      <w:i/>
      <w:iCs/>
      <w:color w:val="404040"/>
      <w:sz w:val="21"/>
      <w:szCs w:val="24"/>
    </w:rPr>
  </w:style>
  <w:style w:type="character" w:customStyle="1" w:styleId="872">
    <w:name w:val="页眉 Char2"/>
    <w:link w:val="1"/>
    <w:qFormat/>
    <w:uiPriority w:val="99"/>
    <w:rPr>
      <w:rFonts w:ascii="宋体" w:hAnsi="宋体"/>
      <w:sz w:val="18"/>
      <w:szCs w:val="18"/>
    </w:rPr>
  </w:style>
  <w:style w:type="table" w:customStyle="1" w:styleId="873">
    <w:name w:val="网格型11"/>
    <w:basedOn w:val="186"/>
    <w:qFormat/>
    <w:uiPriority w:val="0"/>
    <w:pPr>
      <w:widowControl w:val="0"/>
      <w:jc w:val="both"/>
    </w:pPr>
    <w:rPr>
      <w:rFonts w:ascii="等线" w:hAnsi="等线" w:eastAsia="Wingdings" w:cs="等线"/>
    </w:rPr>
  </w:style>
  <w:style w:type="table" w:customStyle="1" w:styleId="874">
    <w:name w:val="网格型 21"/>
    <w:basedOn w:val="186"/>
    <w:qFormat/>
    <w:uiPriority w:val="0"/>
    <w:pPr>
      <w:widowControl w:val="0"/>
      <w:jc w:val="both"/>
    </w:pPr>
    <w:rPr>
      <w:rFonts w:ascii="楷体_GB2312" w:hAnsi="楷体_GB2312" w:eastAsia="等线" w:cs="楷体_GB2312"/>
    </w:rPr>
  </w:style>
  <w:style w:type="character" w:customStyle="1" w:styleId="875">
    <w:name w:val="批注文字 Char3"/>
    <w:link w:val="1"/>
    <w:qFormat/>
    <w:uiPriority w:val="99"/>
    <w:rPr>
      <w:sz w:val="21"/>
      <w:szCs w:val="24"/>
    </w:rPr>
  </w:style>
  <w:style w:type="character" w:customStyle="1" w:styleId="876">
    <w:name w:val="纯文本 Char2"/>
    <w:link w:val="1"/>
    <w:qFormat/>
    <w:uiPriority w:val="0"/>
    <w:rPr>
      <w:rFonts w:ascii="宋体" w:hAnsi="Times New Roman"/>
      <w:sz w:val="21"/>
      <w:szCs w:val="21"/>
    </w:rPr>
  </w:style>
  <w:style w:type="character" w:customStyle="1" w:styleId="877">
    <w:name w:val="页脚 Char2"/>
    <w:link w:val="1"/>
    <w:qFormat/>
    <w:uiPriority w:val="99"/>
    <w:rPr>
      <w:rFonts w:ascii="Times New Roman" w:hAnsi="Times New Roman"/>
      <w:sz w:val="18"/>
      <w:szCs w:val="18"/>
    </w:rPr>
  </w:style>
  <w:style w:type="character" w:customStyle="1" w:styleId="878">
    <w:name w:val="style4"/>
    <w:link w:val="1"/>
    <w:qFormat/>
    <w:uiPriority w:val="0"/>
  </w:style>
  <w:style w:type="character" w:customStyle="1" w:styleId="879">
    <w:name w:val="case31"/>
    <w:link w:val="1"/>
    <w:qFormat/>
    <w:uiPriority w:val="0"/>
    <w:rPr>
      <w:sz w:val="21"/>
      <w:szCs w:val="21"/>
    </w:rPr>
  </w:style>
  <w:style w:type="character" w:customStyle="1" w:styleId="880">
    <w:name w:val="文档-正文 Char"/>
    <w:link w:val="881"/>
    <w:qFormat/>
    <w:uiPriority w:val="0"/>
    <w:rPr>
      <w:rFonts w:ascii="Arial" w:hAnsi="Arial"/>
      <w:sz w:val="24"/>
    </w:rPr>
  </w:style>
  <w:style w:type="paragraph" w:customStyle="1" w:styleId="881">
    <w:name w:val="文档-正文"/>
    <w:basedOn w:val="1"/>
    <w:link w:val="880"/>
    <w:qFormat/>
    <w:uiPriority w:val="0"/>
    <w:pPr>
      <w:widowControl/>
      <w:tabs>
        <w:tab w:val="left" w:pos="3165"/>
      </w:tabs>
      <w:spacing w:line="360" w:lineRule="auto"/>
      <w:ind w:left="3165" w:firstLine="200"/>
      <w:jc w:val="left"/>
    </w:pPr>
    <w:rPr>
      <w:rFonts w:ascii="Arial" w:hAnsi="Arial"/>
      <w:sz w:val="24"/>
    </w:rPr>
  </w:style>
  <w:style w:type="character" w:customStyle="1" w:styleId="882">
    <w:name w:val="htd0"/>
    <w:link w:val="1"/>
    <w:qFormat/>
    <w:uiPriority w:val="0"/>
  </w:style>
  <w:style w:type="character" w:customStyle="1" w:styleId="883">
    <w:name w:val="Char Char7"/>
    <w:link w:val="1"/>
    <w:qFormat/>
    <w:uiPriority w:val="0"/>
    <w:rPr>
      <w:rFonts w:eastAsia="宋体"/>
      <w:b/>
      <w:bCs/>
      <w:sz w:val="32"/>
      <w:szCs w:val="44"/>
      <w:lang w:val="en-US" w:eastAsia="zh-CN" w:bidi="ar-SA"/>
    </w:rPr>
  </w:style>
  <w:style w:type="character" w:customStyle="1" w:styleId="884">
    <w:name w:val="样式 三号 下划线"/>
    <w:link w:val="1"/>
    <w:qFormat/>
    <w:uiPriority w:val="0"/>
    <w:rPr>
      <w:sz w:val="28"/>
      <w:u w:val="single"/>
    </w:rPr>
  </w:style>
  <w:style w:type="character" w:customStyle="1" w:styleId="885">
    <w:name w:val="正文（首行缩进两字） Char1"/>
    <w:link w:val="1"/>
    <w:qFormat/>
    <w:uiPriority w:val="0"/>
    <w:rPr>
      <w:rFonts w:eastAsia="宋体"/>
      <w:sz w:val="21"/>
      <w:lang w:val="en-US" w:eastAsia="zh-CN" w:bidi="ar-SA"/>
    </w:rPr>
  </w:style>
  <w:style w:type="character" w:customStyle="1" w:styleId="886">
    <w:name w:val="new1"/>
    <w:link w:val="1"/>
    <w:qFormat/>
    <w:uiPriority w:val="0"/>
    <w:rPr>
      <w:rFonts w:ascii="Verdana" w:hAnsi="Verdana"/>
      <w:color w:val="333333"/>
      <w:sz w:val="18"/>
      <w:shd w:val="clear" w:color="auto" w:fill="FFFFFF"/>
    </w:rPr>
  </w:style>
  <w:style w:type="character" w:customStyle="1" w:styleId="887">
    <w:name w:val="lan_121"/>
    <w:link w:val="1"/>
    <w:qFormat/>
    <w:uiPriority w:val="0"/>
    <w:rPr>
      <w:color w:val="007BF7"/>
      <w:sz w:val="18"/>
      <w:szCs w:val="18"/>
    </w:rPr>
  </w:style>
  <w:style w:type="character" w:customStyle="1" w:styleId="888">
    <w:name w:val="bodytext1"/>
    <w:link w:val="1"/>
    <w:qFormat/>
    <w:uiPriority w:val="0"/>
  </w:style>
  <w:style w:type="character" w:customStyle="1" w:styleId="889">
    <w:name w:val="fs1"/>
    <w:link w:val="1"/>
    <w:qFormat/>
    <w:uiPriority w:val="0"/>
    <w:rPr>
      <w:rFonts w:ascii="Verdana" w:hAnsi="Verdana"/>
      <w:color w:val="003366"/>
      <w:sz w:val="18"/>
      <w:u w:val="none"/>
    </w:rPr>
  </w:style>
  <w:style w:type="character" w:customStyle="1" w:styleId="890">
    <w:name w:val="样式 标题 2第一层条h2H22UNDERRUBRIK 1-2R2H21H22H211H23H212H2...1 Char"/>
    <w:link w:val="891"/>
    <w:qFormat/>
    <w:uiPriority w:val="0"/>
    <w:rPr>
      <w:rFonts w:ascii="宋体" w:hAnsi="宋体"/>
      <w:b/>
      <w:bCs/>
      <w:sz w:val="30"/>
      <w:szCs w:val="32"/>
    </w:rPr>
  </w:style>
  <w:style w:type="paragraph" w:customStyle="1" w:styleId="891">
    <w:name w:val="样式 标题 2第一层条h2H22UNDERRUBRIK 1-2R2H21H22H211H23H212H2...1"/>
    <w:basedOn w:val="177"/>
    <w:link w:val="890"/>
    <w:qFormat/>
    <w:uiPriority w:val="0"/>
    <w:pPr>
      <w:numPr>
        <w:ilvl w:val="1"/>
        <w:numId w:val="0"/>
      </w:numPr>
      <w:tabs>
        <w:tab w:val="left" w:pos="567"/>
      </w:tabs>
    </w:pPr>
    <w:rPr>
      <w:rFonts w:ascii="宋体" w:hAnsi="宋体" w:eastAsia="宋体" w:cs="Times New Roman"/>
      <w:sz w:val="30"/>
    </w:rPr>
  </w:style>
  <w:style w:type="paragraph" w:customStyle="1" w:styleId="892">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893">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894">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895">
    <w:name w:val="font14"/>
    <w:basedOn w:val="1"/>
    <w:qFormat/>
    <w:uiPriority w:val="0"/>
    <w:pPr>
      <w:widowControl/>
      <w:spacing w:before="100" w:beforeAutospacing="1" w:after="100" w:afterAutospacing="1"/>
      <w:jc w:val="left"/>
    </w:pPr>
    <w:rPr>
      <w:sz w:val="36"/>
      <w:szCs w:val="36"/>
    </w:rPr>
  </w:style>
  <w:style w:type="paragraph" w:customStyle="1" w:styleId="896">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897">
    <w:name w:val="Char Char Char2"/>
    <w:basedOn w:val="1"/>
    <w:qFormat/>
    <w:uiPriority w:val="0"/>
    <w:pPr>
      <w:tabs>
        <w:tab w:val="left" w:pos="1545"/>
      </w:tabs>
      <w:ind w:left="425" w:hanging="425"/>
    </w:pPr>
  </w:style>
  <w:style w:type="paragraph" w:customStyle="1" w:styleId="898">
    <w:name w:val="Char12"/>
    <w:basedOn w:val="1"/>
    <w:qFormat/>
    <w:uiPriority w:val="0"/>
    <w:rPr>
      <w:rFonts w:ascii="仿宋_GB2312" w:eastAsia="仿宋_GB2312"/>
      <w:b/>
      <w:sz w:val="32"/>
      <w:szCs w:val="32"/>
    </w:rPr>
  </w:style>
  <w:style w:type="paragraph" w:customStyle="1" w:styleId="899">
    <w:name w:val="Char Char Char Char Char Char Char Char Char Char Char Char Char Char Char Char1"/>
    <w:basedOn w:val="1"/>
    <w:qFormat/>
    <w:uiPriority w:val="0"/>
    <w:pPr>
      <w:tabs>
        <w:tab w:val="left" w:pos="360"/>
      </w:tabs>
    </w:pPr>
    <w:rPr>
      <w:sz w:val="24"/>
      <w:szCs w:val="24"/>
    </w:rPr>
  </w:style>
  <w:style w:type="paragraph" w:customStyle="1" w:styleId="900">
    <w:name w:val="样式6"/>
    <w:basedOn w:val="180"/>
    <w:qFormat/>
    <w:uiPriority w:val="0"/>
    <w:pPr>
      <w:numPr>
        <w:ilvl w:val="5"/>
        <w:numId w:val="0"/>
      </w:numPr>
      <w:tabs>
        <w:tab w:val="left" w:pos="1440"/>
      </w:tabs>
      <w:spacing w:line="400" w:lineRule="exact"/>
      <w:jc w:val="center"/>
    </w:pPr>
    <w:rPr>
      <w:rFonts w:ascii="Times New Roman" w:hAnsi="Times New Roman"/>
      <w:sz w:val="24"/>
    </w:rPr>
  </w:style>
  <w:style w:type="paragraph" w:customStyle="1" w:styleId="901">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902">
    <w:name w:val="Author"/>
    <w:basedOn w:val="903"/>
    <w:qFormat/>
    <w:uiPriority w:val="0"/>
    <w:pPr>
      <w:jc w:val="right"/>
    </w:pPr>
    <w:rPr>
      <w:b w:val="0"/>
    </w:rPr>
  </w:style>
  <w:style w:type="paragraph" w:customStyle="1" w:styleId="903">
    <w:name w:val="Heading 0"/>
    <w:basedOn w:val="1"/>
    <w:qFormat/>
    <w:uiPriority w:val="0"/>
    <w:pPr>
      <w:widowControl/>
      <w:jc w:val="center"/>
    </w:pPr>
    <w:rPr>
      <w:rFonts w:ascii="Arial" w:hAnsi="Arial" w:eastAsia="MS Mincho"/>
      <w:b/>
      <w:sz w:val="28"/>
      <w:lang w:eastAsia="en-US"/>
    </w:rPr>
  </w:style>
  <w:style w:type="paragraph" w:customStyle="1" w:styleId="904">
    <w:name w:val="样式 正文文本缩进 2 + Times New Roman 首行缩进:  1.06 厘米 行距: 固定值 30 磅"/>
    <w:basedOn w:val="232"/>
    <w:qFormat/>
    <w:uiPriority w:val="0"/>
    <w:pPr>
      <w:spacing w:line="540" w:lineRule="exact"/>
      <w:ind w:firstLine="601"/>
    </w:pPr>
    <w:rPr>
      <w:rFonts w:ascii="Times New Roman"/>
    </w:rPr>
  </w:style>
  <w:style w:type="paragraph" w:customStyle="1" w:styleId="905">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906">
    <w:name w:val="纯文本1"/>
    <w:basedOn w:val="1"/>
    <w:qFormat/>
    <w:uiPriority w:val="0"/>
    <w:rPr>
      <w:rFonts w:ascii="宋体" w:hAnsi="Courier New" w:eastAsia="楷体_GB2312"/>
      <w:sz w:val="26"/>
    </w:rPr>
  </w:style>
  <w:style w:type="paragraph" w:customStyle="1" w:styleId="907">
    <w:name w:val="项目编号1"/>
    <w:basedOn w:val="1"/>
    <w:next w:val="1"/>
    <w:qFormat/>
    <w:uiPriority w:val="0"/>
    <w:pPr>
      <w:tabs>
        <w:tab w:val="left" w:pos="0"/>
        <w:tab w:val="left" w:pos="780"/>
      </w:tabs>
      <w:spacing w:line="360" w:lineRule="auto"/>
      <w:ind w:left="780" w:hanging="360"/>
      <w:jc w:val="left"/>
    </w:pPr>
    <w:rPr>
      <w:rFonts w:ascii="宋体"/>
      <w:sz w:val="24"/>
      <w:szCs w:val="24"/>
    </w:rPr>
  </w:style>
  <w:style w:type="paragraph" w:customStyle="1" w:styleId="908">
    <w:name w:val="普通文字"/>
    <w:basedOn w:val="1"/>
    <w:next w:val="1"/>
    <w:qFormat/>
    <w:uiPriority w:val="0"/>
    <w:rPr>
      <w:rFonts w:ascii="宋体"/>
      <w:sz w:val="24"/>
    </w:rPr>
  </w:style>
  <w:style w:type="paragraph" w:customStyle="1" w:styleId="909">
    <w:name w:val="文档-标题2"/>
    <w:basedOn w:val="1"/>
    <w:next w:val="1"/>
    <w:qFormat/>
    <w:uiPriority w:val="0"/>
    <w:pPr>
      <w:keepNext/>
      <w:keepLines/>
      <w:tabs>
        <w:tab w:val="left" w:pos="1290"/>
      </w:tabs>
      <w:spacing w:before="260" w:after="260" w:line="416" w:lineRule="auto"/>
      <w:jc w:val="left"/>
      <w:outlineLvl w:val="1"/>
    </w:pPr>
    <w:rPr>
      <w:rFonts w:ascii="Cambria" w:hAnsi="Cambria"/>
      <w:b/>
      <w:bCs/>
      <w:color w:val="7030A0"/>
      <w:sz w:val="32"/>
      <w:szCs w:val="32"/>
    </w:rPr>
  </w:style>
  <w:style w:type="paragraph" w:customStyle="1" w:styleId="910">
    <w:name w:val="标准段落"/>
    <w:basedOn w:val="1"/>
    <w:qFormat/>
    <w:uiPriority w:val="0"/>
    <w:pPr>
      <w:spacing w:line="360" w:lineRule="auto"/>
      <w:ind w:left="420"/>
    </w:pPr>
    <w:rPr>
      <w:rFonts w:ascii="宋体" w:hAnsi="宋体"/>
      <w:bCs/>
      <w:szCs w:val="21"/>
    </w:rPr>
  </w:style>
  <w:style w:type="paragraph" w:customStyle="1" w:styleId="911">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912">
    <w:name w:val="a14"/>
    <w:basedOn w:val="1"/>
    <w:qFormat/>
    <w:uiPriority w:val="0"/>
    <w:pPr>
      <w:widowControl/>
      <w:spacing w:before="100" w:beforeAutospacing="1" w:after="100" w:afterAutospacing="1"/>
      <w:jc w:val="left"/>
    </w:pPr>
    <w:rPr>
      <w:rFonts w:ascii="宋体" w:hAnsi="宋体"/>
      <w:sz w:val="24"/>
    </w:rPr>
  </w:style>
  <w:style w:type="paragraph" w:customStyle="1" w:styleId="913">
    <w:name w:val="Char3"/>
    <w:basedOn w:val="1"/>
    <w:qFormat/>
    <w:uiPriority w:val="0"/>
    <w:rPr>
      <w:rFonts w:ascii="仿宋_GB2312" w:eastAsia="仿宋_GB2312"/>
      <w:b/>
      <w:sz w:val="32"/>
      <w:szCs w:val="32"/>
    </w:rPr>
  </w:style>
  <w:style w:type="paragraph" w:customStyle="1" w:styleId="914">
    <w:name w:val="Char Char Char Char Char Char Char Char Char Char13"/>
    <w:basedOn w:val="1"/>
    <w:qFormat/>
    <w:uiPriority w:val="0"/>
    <w:pPr>
      <w:tabs>
        <w:tab w:val="left" w:pos="425"/>
      </w:tabs>
      <w:ind w:left="425" w:hanging="425"/>
    </w:pPr>
    <w:rPr>
      <w:sz w:val="28"/>
    </w:rPr>
  </w:style>
  <w:style w:type="paragraph" w:customStyle="1" w:styleId="915">
    <w:name w:val="无缩进正文"/>
    <w:basedOn w:val="1"/>
    <w:qFormat/>
    <w:uiPriority w:val="0"/>
  </w:style>
  <w:style w:type="paragraph" w:customStyle="1" w:styleId="916">
    <w:name w:val="默认段落字体 Para Char Char Char Char"/>
    <w:basedOn w:val="1"/>
    <w:qFormat/>
    <w:uiPriority w:val="0"/>
  </w:style>
  <w:style w:type="paragraph" w:customStyle="1" w:styleId="917">
    <w:name w:val="题注4"/>
    <w:basedOn w:val="1"/>
    <w:next w:val="201"/>
    <w:qFormat/>
    <w:uiPriority w:val="0"/>
    <w:pPr>
      <w:jc w:val="center"/>
    </w:pPr>
    <w:rPr>
      <w:b/>
      <w:color w:val="000000"/>
      <w:szCs w:val="21"/>
      <w:lang w:val="en-GB" w:eastAsia="en-GB"/>
    </w:rPr>
  </w:style>
  <w:style w:type="paragraph" w:customStyle="1" w:styleId="918">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919">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920">
    <w:name w:val="Char Char Char1 Char Char Char1"/>
    <w:basedOn w:val="1"/>
    <w:qFormat/>
    <w:uiPriority w:val="0"/>
    <w:pPr>
      <w:ind w:firstLine="200"/>
    </w:pPr>
    <w:rPr>
      <w:rFonts w:ascii="Tahoma" w:hAnsi="Tahoma"/>
      <w:sz w:val="24"/>
    </w:rPr>
  </w:style>
  <w:style w:type="paragraph" w:customStyle="1" w:styleId="921">
    <w:name w:val="样式2"/>
    <w:basedOn w:val="176"/>
    <w:qFormat/>
    <w:uiPriority w:val="0"/>
    <w:pPr>
      <w:tabs>
        <w:tab w:val="left" w:pos="1800"/>
      </w:tabs>
      <w:ind w:left="425" w:hanging="425"/>
    </w:pPr>
    <w:rPr>
      <w:rFonts w:eastAsia="黑体"/>
      <w:sz w:val="32"/>
    </w:rPr>
  </w:style>
  <w:style w:type="paragraph" w:customStyle="1" w:styleId="922">
    <w:name w:val="Char Char Char Char Char Char Char1"/>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923">
    <w:name w:val="Char Char Char Char Char Char1"/>
    <w:basedOn w:val="1"/>
    <w:qFormat/>
    <w:uiPriority w:val="0"/>
    <w:pPr>
      <w:widowControl/>
      <w:numPr>
        <w:ilvl w:val="0"/>
        <w:numId w:val="22"/>
      </w:numPr>
      <w:spacing w:after="160" w:line="240" w:lineRule="exact"/>
      <w:jc w:val="left"/>
    </w:pPr>
    <w:rPr>
      <w:rFonts w:ascii="黑体" w:hAnsi="Verdana" w:eastAsia="黑体"/>
      <w:sz w:val="32"/>
      <w:szCs w:val="32"/>
    </w:rPr>
  </w:style>
  <w:style w:type="paragraph" w:customStyle="1" w:styleId="924">
    <w:name w:val="表中"/>
    <w:basedOn w:val="1"/>
    <w:qFormat/>
    <w:uiPriority w:val="0"/>
    <w:pPr>
      <w:spacing w:line="360" w:lineRule="atLeast"/>
      <w:jc w:val="center"/>
    </w:pPr>
  </w:style>
  <w:style w:type="paragraph" w:customStyle="1" w:styleId="925">
    <w:name w:val="Char Char1 Char Char Char Char Char Char Char"/>
    <w:basedOn w:val="1"/>
    <w:qFormat/>
    <w:uiPriority w:val="0"/>
    <w:rPr>
      <w:rFonts w:ascii="Tahoma" w:hAnsi="Tahoma"/>
      <w:sz w:val="24"/>
    </w:rPr>
  </w:style>
  <w:style w:type="paragraph" w:customStyle="1" w:styleId="926">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927">
    <w:name w:val="修订1"/>
    <w:unhideWhenUsed/>
    <w:qFormat/>
    <w:uiPriority w:val="0"/>
    <w:rPr>
      <w:rFonts w:hint="default" w:ascii="Times New Roman" w:hAnsi="Times New Roman" w:eastAsia="宋体" w:cs="Times New Roman"/>
      <w:sz w:val="21"/>
      <w:szCs w:val="24"/>
      <w:lang w:val="en-US" w:eastAsia="zh-CN" w:bidi="ar-SA"/>
    </w:rPr>
  </w:style>
  <w:style w:type="paragraph" w:customStyle="1" w:styleId="928">
    <w:name w:val="font13"/>
    <w:basedOn w:val="1"/>
    <w:qFormat/>
    <w:uiPriority w:val="0"/>
    <w:pPr>
      <w:widowControl/>
      <w:spacing w:before="100" w:beforeAutospacing="1" w:after="100" w:afterAutospacing="1"/>
      <w:jc w:val="left"/>
    </w:pPr>
    <w:rPr>
      <w:i/>
      <w:iCs/>
      <w:sz w:val="36"/>
      <w:szCs w:val="36"/>
    </w:rPr>
  </w:style>
  <w:style w:type="paragraph" w:customStyle="1" w:styleId="929">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930">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931">
    <w:name w:val="文档-标题3"/>
    <w:basedOn w:val="1"/>
    <w:next w:val="1"/>
    <w:qFormat/>
    <w:uiPriority w:val="0"/>
    <w:pPr>
      <w:keepNext/>
      <w:keepLines/>
      <w:tabs>
        <w:tab w:val="left" w:pos="1830"/>
      </w:tabs>
      <w:spacing w:before="260" w:after="260" w:line="416" w:lineRule="auto"/>
      <w:jc w:val="left"/>
      <w:outlineLvl w:val="2"/>
    </w:pPr>
    <w:rPr>
      <w:rFonts w:ascii="Calibri" w:hAnsi="Calibri"/>
      <w:b/>
      <w:bCs/>
      <w:color w:val="7030A0"/>
      <w:sz w:val="32"/>
      <w:szCs w:val="32"/>
    </w:rPr>
  </w:style>
  <w:style w:type="paragraph" w:customStyle="1" w:styleId="932">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933">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character" w:customStyle="1" w:styleId="934">
    <w:name w:val="书籍标题1"/>
    <w:link w:val="1"/>
    <w:qFormat/>
    <w:uiPriority w:val="0"/>
    <w:rPr>
      <w:b/>
      <w:bCs/>
      <w:smallCaps/>
      <w:spacing w:val="5"/>
    </w:rPr>
  </w:style>
  <w:style w:type="paragraph" w:customStyle="1" w:styleId="935">
    <w:name w:val="_Style 254"/>
    <w:basedOn w:val="1"/>
    <w:next w:val="377"/>
    <w:qFormat/>
    <w:uiPriority w:val="0"/>
    <w:pPr>
      <w:ind w:firstLine="420"/>
    </w:pPr>
    <w:rPr>
      <w:rFonts w:ascii="Calibri" w:hAnsi="Calibri"/>
      <w:szCs w:val="22"/>
    </w:rPr>
  </w:style>
  <w:style w:type="character" w:customStyle="1" w:styleId="936">
    <w:name w:val="Char Char42"/>
    <w:link w:val="1"/>
    <w:qFormat/>
    <w:uiPriority w:val="0"/>
    <w:rPr>
      <w:rFonts w:ascii="华文细黑" w:hAnsi="华文细黑" w:eastAsia="幼圆" w:cs="Tahoma"/>
      <w:b/>
      <w:sz w:val="28"/>
      <w:szCs w:val="32"/>
      <w:lang w:val="en-US" w:eastAsia="zh-CN" w:bidi="ar-SA"/>
    </w:rPr>
  </w:style>
  <w:style w:type="character" w:customStyle="1" w:styleId="937">
    <w:name w:val="不明显强调1"/>
    <w:link w:val="1"/>
    <w:qFormat/>
    <w:uiPriority w:val="0"/>
    <w:rPr>
      <w:i/>
      <w:iCs/>
      <w:color w:val="808080"/>
    </w:rPr>
  </w:style>
  <w:style w:type="character" w:customStyle="1" w:styleId="938">
    <w:name w:val="明显强调1"/>
    <w:link w:val="1"/>
    <w:qFormat/>
    <w:uiPriority w:val="0"/>
    <w:rPr>
      <w:b/>
      <w:bCs/>
      <w:i/>
      <w:iCs/>
      <w:color w:val="4F81BD"/>
    </w:rPr>
  </w:style>
  <w:style w:type="character" w:customStyle="1" w:styleId="939">
    <w:name w:val="明显参考1"/>
    <w:link w:val="1"/>
    <w:qFormat/>
    <w:uiPriority w:val="0"/>
    <w:rPr>
      <w:b/>
      <w:bCs/>
      <w:smallCaps/>
      <w:color w:val="C0504D"/>
      <w:spacing w:val="5"/>
      <w:u w:val="single"/>
    </w:rPr>
  </w:style>
  <w:style w:type="character" w:customStyle="1" w:styleId="940">
    <w:name w:val="Char Char12"/>
    <w:link w:val="1"/>
    <w:qFormat/>
    <w:uiPriority w:val="0"/>
    <w:rPr>
      <w:rFonts w:ascii="幼圆" w:hAnsi="Tahoma" w:eastAsia="幼圆" w:cs="Tahoma"/>
      <w:b/>
      <w:bCs/>
      <w:sz w:val="32"/>
      <w:szCs w:val="32"/>
      <w:lang w:val="en-US" w:eastAsia="zh-CN" w:bidi="ar-SA"/>
    </w:rPr>
  </w:style>
  <w:style w:type="character" w:customStyle="1" w:styleId="941">
    <w:name w:val="Char Char26"/>
    <w:link w:val="1"/>
    <w:semiHidden/>
    <w:qFormat/>
    <w:uiPriority w:val="0"/>
    <w:rPr>
      <w:rFonts w:eastAsia="华文细黑"/>
      <w:sz w:val="21"/>
      <w:szCs w:val="24"/>
      <w:lang w:val="en-US" w:eastAsia="zh-CN" w:bidi="ar-SA"/>
    </w:rPr>
  </w:style>
  <w:style w:type="character" w:customStyle="1" w:styleId="942">
    <w:name w:val="Char Char32"/>
    <w:link w:val="1"/>
    <w:qFormat/>
    <w:uiPriority w:val="0"/>
    <w:rPr>
      <w:rFonts w:ascii="幼圆" w:hAnsi="华文细黑" w:eastAsia="幼圆" w:cs="Tahoma"/>
      <w:b/>
      <w:bCs/>
      <w:sz w:val="24"/>
      <w:szCs w:val="24"/>
      <w:lang w:val="en-US" w:eastAsia="zh-CN" w:bidi="ar-SA"/>
    </w:rPr>
  </w:style>
  <w:style w:type="character" w:customStyle="1" w:styleId="943">
    <w:name w:val="不明显参考1"/>
    <w:link w:val="1"/>
    <w:qFormat/>
    <w:uiPriority w:val="0"/>
    <w:rPr>
      <w:smallCaps/>
      <w:color w:val="C0504D"/>
      <w:u w:val="single"/>
    </w:rPr>
  </w:style>
  <w:style w:type="paragraph" w:customStyle="1" w:styleId="944">
    <w:name w:val="Char Char Char Char2"/>
    <w:basedOn w:val="1"/>
    <w:qFormat/>
    <w:uiPriority w:val="0"/>
    <w:pPr>
      <w:widowControl/>
      <w:tabs>
        <w:tab w:val="left" w:pos="1800"/>
      </w:tabs>
      <w:spacing w:after="120" w:line="360" w:lineRule="auto"/>
      <w:ind w:left="560" w:firstLine="480"/>
      <w:jc w:val="left"/>
    </w:pPr>
    <w:rPr>
      <w:rFonts w:ascii="Verdana" w:hAnsi="Verdana"/>
      <w:sz w:val="24"/>
      <w:szCs w:val="24"/>
    </w:rPr>
  </w:style>
  <w:style w:type="paragraph" w:customStyle="1" w:styleId="945">
    <w:name w:val="Char Char Char Char Char Char Char Char Char Char2"/>
    <w:basedOn w:val="1"/>
    <w:qFormat/>
    <w:uiPriority w:val="0"/>
    <w:pPr>
      <w:tabs>
        <w:tab w:val="left" w:pos="1620"/>
        <w:tab w:val="left" w:pos="2040"/>
      </w:tabs>
      <w:ind w:left="1620" w:hanging="420"/>
    </w:pPr>
    <w:rPr>
      <w:sz w:val="24"/>
      <w:szCs w:val="24"/>
    </w:rPr>
  </w:style>
  <w:style w:type="paragraph" w:customStyle="1" w:styleId="946">
    <w:name w:val="正文3"/>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947">
    <w:name w:val="TOC 标题2"/>
    <w:basedOn w:val="176"/>
    <w:next w:val="1"/>
    <w:qFormat/>
    <w:uiPriority w:val="0"/>
    <w:pPr>
      <w:tabs>
        <w:tab w:val="left" w:pos="1800"/>
      </w:tabs>
      <w:outlineLvl w:val="9"/>
    </w:pPr>
    <w:rPr>
      <w:rFonts w:ascii="Cambria" w:hAnsi="Cambria" w:eastAsia="华文细黑" w:cs="Cambria"/>
    </w:rPr>
  </w:style>
  <w:style w:type="character" w:customStyle="1" w:styleId="948">
    <w:name w:val="fontstyle01"/>
    <w:link w:val="1"/>
    <w:qFormat/>
    <w:uiPriority w:val="0"/>
    <w:rPr>
      <w:rFonts w:ascii="宋体" w:hAnsi="宋体" w:eastAsia="宋体" w:cs="宋体"/>
      <w:color w:val="000000"/>
      <w:sz w:val="24"/>
      <w:szCs w:val="24"/>
    </w:rPr>
  </w:style>
  <w:style w:type="character" w:customStyle="1" w:styleId="949">
    <w:name w:val="Char Char8"/>
    <w:link w:val="1"/>
    <w:qFormat/>
    <w:uiPriority w:val="0"/>
    <w:rPr>
      <w:rFonts w:eastAsia="宋体"/>
      <w:b/>
      <w:bCs/>
      <w:sz w:val="32"/>
      <w:szCs w:val="44"/>
      <w:lang w:val="en-US" w:eastAsia="zh-CN" w:bidi="ar-SA"/>
    </w:rPr>
  </w:style>
  <w:style w:type="paragraph" w:customStyle="1" w:styleId="950">
    <w:name w:val="Char Char Char3"/>
    <w:basedOn w:val="1"/>
    <w:qFormat/>
    <w:uiPriority w:val="0"/>
    <w:pPr>
      <w:tabs>
        <w:tab w:val="left" w:pos="1545"/>
      </w:tabs>
      <w:ind w:left="425" w:hanging="425"/>
    </w:pPr>
  </w:style>
  <w:style w:type="paragraph" w:customStyle="1" w:styleId="951">
    <w:name w:val="Char13"/>
    <w:basedOn w:val="1"/>
    <w:qFormat/>
    <w:uiPriority w:val="0"/>
    <w:rPr>
      <w:rFonts w:ascii="仿宋_GB2312" w:eastAsia="仿宋_GB2312"/>
      <w:b/>
      <w:sz w:val="32"/>
      <w:szCs w:val="32"/>
    </w:rPr>
  </w:style>
  <w:style w:type="paragraph" w:customStyle="1" w:styleId="952">
    <w:name w:val="Char Char Char Char Char Char Char Char Char Char Char Char Char Char Char Char2"/>
    <w:basedOn w:val="1"/>
    <w:qFormat/>
    <w:uiPriority w:val="0"/>
    <w:pPr>
      <w:tabs>
        <w:tab w:val="left" w:pos="360"/>
      </w:tabs>
    </w:pPr>
    <w:rPr>
      <w:sz w:val="24"/>
      <w:szCs w:val="24"/>
    </w:rPr>
  </w:style>
  <w:style w:type="paragraph" w:customStyle="1" w:styleId="953">
    <w:name w:val="纯文本2"/>
    <w:basedOn w:val="1"/>
    <w:qFormat/>
    <w:uiPriority w:val="0"/>
    <w:rPr>
      <w:rFonts w:ascii="宋体" w:hAnsi="Courier New" w:eastAsia="楷体_GB2312"/>
      <w:sz w:val="26"/>
    </w:rPr>
  </w:style>
  <w:style w:type="paragraph" w:customStyle="1" w:styleId="954">
    <w:name w:val="Char4"/>
    <w:basedOn w:val="1"/>
    <w:qFormat/>
    <w:uiPriority w:val="0"/>
    <w:rPr>
      <w:rFonts w:ascii="仿宋_GB2312" w:eastAsia="仿宋_GB2312"/>
      <w:b/>
      <w:sz w:val="32"/>
      <w:szCs w:val="32"/>
    </w:rPr>
  </w:style>
  <w:style w:type="paragraph" w:customStyle="1" w:styleId="955">
    <w:name w:val="Char Char Char Char Char Char Char Char Char Char14"/>
    <w:basedOn w:val="1"/>
    <w:qFormat/>
    <w:uiPriority w:val="0"/>
    <w:pPr>
      <w:tabs>
        <w:tab w:val="left" w:pos="425"/>
      </w:tabs>
      <w:ind w:left="425" w:hanging="425"/>
    </w:pPr>
    <w:rPr>
      <w:sz w:val="28"/>
    </w:rPr>
  </w:style>
  <w:style w:type="paragraph" w:customStyle="1" w:styleId="956">
    <w:name w:val="Char Char Char1 Char Char Char2"/>
    <w:basedOn w:val="1"/>
    <w:qFormat/>
    <w:uiPriority w:val="0"/>
    <w:pPr>
      <w:ind w:firstLine="200"/>
    </w:pPr>
    <w:rPr>
      <w:rFonts w:ascii="Tahoma" w:hAnsi="Tahoma"/>
      <w:sz w:val="24"/>
    </w:rPr>
  </w:style>
  <w:style w:type="paragraph" w:customStyle="1" w:styleId="957">
    <w:name w:val="Char Char Char Char Char Char Char2"/>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958">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959">
    <w:name w:val="Char Char1 Char Char Char Char Char Char Char1"/>
    <w:basedOn w:val="1"/>
    <w:qFormat/>
    <w:uiPriority w:val="0"/>
    <w:rPr>
      <w:rFonts w:ascii="Tahoma" w:hAnsi="Tahoma"/>
      <w:sz w:val="24"/>
    </w:rPr>
  </w:style>
  <w:style w:type="paragraph" w:customStyle="1" w:styleId="960">
    <w:name w:val="修订2"/>
    <w:unhideWhenUsed/>
    <w:qFormat/>
    <w:uiPriority w:val="0"/>
    <w:rPr>
      <w:rFonts w:hint="default" w:ascii="Times New Roman" w:hAnsi="Times New Roman" w:eastAsia="宋体" w:cs="Times New Roman"/>
      <w:sz w:val="21"/>
      <w:szCs w:val="24"/>
      <w:lang w:val="en-US" w:eastAsia="zh-CN" w:bidi="ar-SA"/>
    </w:rPr>
  </w:style>
  <w:style w:type="character" w:customStyle="1" w:styleId="961">
    <w:name w:val="书籍标题2"/>
    <w:link w:val="1"/>
    <w:qFormat/>
    <w:uiPriority w:val="0"/>
    <w:rPr>
      <w:b/>
      <w:bCs/>
      <w:smallCaps/>
      <w:spacing w:val="5"/>
    </w:rPr>
  </w:style>
  <w:style w:type="character" w:customStyle="1" w:styleId="962">
    <w:name w:val="Char Char43"/>
    <w:link w:val="1"/>
    <w:qFormat/>
    <w:uiPriority w:val="0"/>
    <w:rPr>
      <w:rFonts w:ascii="华文细黑" w:hAnsi="华文细黑" w:eastAsia="幼圆" w:cs="Tahoma"/>
      <w:b/>
      <w:sz w:val="28"/>
      <w:szCs w:val="32"/>
      <w:lang w:val="en-US" w:eastAsia="zh-CN" w:bidi="ar-SA"/>
    </w:rPr>
  </w:style>
  <w:style w:type="character" w:customStyle="1" w:styleId="963">
    <w:name w:val="不明显强调2"/>
    <w:link w:val="1"/>
    <w:qFormat/>
    <w:uiPriority w:val="0"/>
    <w:rPr>
      <w:i/>
      <w:iCs/>
      <w:color w:val="808080"/>
    </w:rPr>
  </w:style>
  <w:style w:type="character" w:customStyle="1" w:styleId="964">
    <w:name w:val="明显强调2"/>
    <w:link w:val="1"/>
    <w:qFormat/>
    <w:uiPriority w:val="0"/>
    <w:rPr>
      <w:b/>
      <w:bCs/>
      <w:i/>
      <w:iCs/>
      <w:color w:val="4F81BD"/>
    </w:rPr>
  </w:style>
  <w:style w:type="character" w:customStyle="1" w:styleId="965">
    <w:name w:val="明显参考2"/>
    <w:link w:val="1"/>
    <w:qFormat/>
    <w:uiPriority w:val="0"/>
    <w:rPr>
      <w:b/>
      <w:bCs/>
      <w:smallCaps/>
      <w:color w:val="C0504D"/>
      <w:spacing w:val="5"/>
      <w:u w:val="single"/>
    </w:rPr>
  </w:style>
  <w:style w:type="character" w:customStyle="1" w:styleId="966">
    <w:name w:val="Char Char13"/>
    <w:link w:val="1"/>
    <w:qFormat/>
    <w:uiPriority w:val="0"/>
    <w:rPr>
      <w:rFonts w:ascii="幼圆" w:hAnsi="Tahoma" w:eastAsia="幼圆" w:cs="Tahoma"/>
      <w:b/>
      <w:bCs/>
      <w:sz w:val="32"/>
      <w:szCs w:val="32"/>
      <w:lang w:val="en-US" w:eastAsia="zh-CN" w:bidi="ar-SA"/>
    </w:rPr>
  </w:style>
  <w:style w:type="character" w:customStyle="1" w:styleId="967">
    <w:name w:val="Char Char27"/>
    <w:link w:val="1"/>
    <w:semiHidden/>
    <w:qFormat/>
    <w:uiPriority w:val="0"/>
    <w:rPr>
      <w:rFonts w:eastAsia="华文细黑"/>
      <w:sz w:val="21"/>
      <w:szCs w:val="24"/>
      <w:lang w:val="en-US" w:eastAsia="zh-CN" w:bidi="ar-SA"/>
    </w:rPr>
  </w:style>
  <w:style w:type="character" w:customStyle="1" w:styleId="968">
    <w:name w:val="Char Char33"/>
    <w:link w:val="1"/>
    <w:qFormat/>
    <w:uiPriority w:val="0"/>
    <w:rPr>
      <w:rFonts w:ascii="幼圆" w:hAnsi="华文细黑" w:eastAsia="幼圆" w:cs="Tahoma"/>
      <w:b/>
      <w:bCs/>
      <w:sz w:val="24"/>
      <w:szCs w:val="24"/>
      <w:lang w:val="en-US" w:eastAsia="zh-CN" w:bidi="ar-SA"/>
    </w:rPr>
  </w:style>
  <w:style w:type="character" w:customStyle="1" w:styleId="969">
    <w:name w:val="不明显参考2"/>
    <w:link w:val="1"/>
    <w:qFormat/>
    <w:uiPriority w:val="0"/>
    <w:rPr>
      <w:smallCaps/>
      <w:color w:val="C0504D"/>
      <w:u w:val="single"/>
    </w:rPr>
  </w:style>
  <w:style w:type="paragraph" w:customStyle="1" w:styleId="970">
    <w:name w:val="Char Char Char Char3"/>
    <w:basedOn w:val="1"/>
    <w:qFormat/>
    <w:uiPriority w:val="0"/>
    <w:pPr>
      <w:widowControl/>
      <w:tabs>
        <w:tab w:val="left" w:pos="1800"/>
      </w:tabs>
      <w:spacing w:after="120" w:line="360" w:lineRule="auto"/>
      <w:ind w:left="560" w:firstLine="480"/>
      <w:jc w:val="left"/>
    </w:pPr>
    <w:rPr>
      <w:rFonts w:ascii="Verdana" w:hAnsi="Verdana"/>
      <w:sz w:val="24"/>
      <w:szCs w:val="24"/>
    </w:rPr>
  </w:style>
  <w:style w:type="paragraph" w:customStyle="1" w:styleId="971">
    <w:name w:val="Char Char Char Char Char Char Char Char Char Char3"/>
    <w:basedOn w:val="1"/>
    <w:qFormat/>
    <w:uiPriority w:val="0"/>
    <w:pPr>
      <w:tabs>
        <w:tab w:val="left" w:pos="1620"/>
        <w:tab w:val="left" w:pos="2040"/>
      </w:tabs>
      <w:ind w:left="1620" w:hanging="420"/>
    </w:pPr>
    <w:rPr>
      <w:sz w:val="24"/>
      <w:szCs w:val="24"/>
    </w:rPr>
  </w:style>
  <w:style w:type="paragraph" w:customStyle="1" w:styleId="972">
    <w:name w:val="列出段落3"/>
    <w:basedOn w:val="1"/>
    <w:qFormat/>
    <w:uiPriority w:val="34"/>
    <w:pPr>
      <w:ind w:firstLine="420"/>
    </w:pPr>
    <w:rPr>
      <w:rFonts w:ascii="Calibri" w:hAnsi="Calibri"/>
      <w:szCs w:val="22"/>
    </w:rPr>
  </w:style>
  <w:style w:type="paragraph" w:customStyle="1" w:styleId="973">
    <w:name w:val="正文4"/>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974">
    <w:name w:val="TOC 标题3"/>
    <w:basedOn w:val="176"/>
    <w:next w:val="1"/>
    <w:qFormat/>
    <w:uiPriority w:val="0"/>
    <w:pPr>
      <w:tabs>
        <w:tab w:val="left" w:pos="1800"/>
      </w:tabs>
      <w:outlineLvl w:val="9"/>
    </w:pPr>
    <w:rPr>
      <w:rFonts w:ascii="Cambria" w:hAnsi="Cambria" w:eastAsia="华文细黑" w:cs="Cambria"/>
    </w:rPr>
  </w:style>
  <w:style w:type="paragraph" w:customStyle="1" w:styleId="975">
    <w:name w:val="_Style 806"/>
    <w:basedOn w:val="1"/>
    <w:next w:val="377"/>
    <w:link w:val="976"/>
    <w:qFormat/>
    <w:uiPriority w:val="34"/>
    <w:pPr>
      <w:ind w:firstLine="200"/>
    </w:pPr>
    <w:rPr>
      <w:rFonts w:ascii="Calibri" w:hAnsi="Calibri"/>
      <w:szCs w:val="22"/>
    </w:rPr>
  </w:style>
  <w:style w:type="character" w:customStyle="1" w:styleId="976">
    <w:name w:val="列出段落 Char1"/>
    <w:link w:val="975"/>
    <w:qFormat/>
    <w:uiPriority w:val="34"/>
    <w:rPr>
      <w:rFonts w:ascii="Calibri" w:hAnsi="Calibri"/>
      <w:sz w:val="21"/>
      <w:szCs w:val="22"/>
    </w:rPr>
  </w:style>
  <w:style w:type="paragraph" w:customStyle="1" w:styleId="977">
    <w:name w:val=" Char Char Char"/>
    <w:basedOn w:val="1"/>
    <w:qFormat/>
    <w:uiPriority w:val="0"/>
    <w:pPr>
      <w:tabs>
        <w:tab w:val="left" w:pos="1545"/>
      </w:tabs>
      <w:ind w:left="425" w:hanging="425"/>
    </w:pPr>
  </w:style>
  <w:style w:type="paragraph" w:customStyle="1" w:styleId="978">
    <w:name w:val=" Char1"/>
    <w:basedOn w:val="1"/>
    <w:qFormat/>
    <w:uiPriority w:val="0"/>
    <w:rPr>
      <w:rFonts w:ascii="仿宋_GB2312" w:eastAsia="仿宋_GB2312"/>
      <w:b/>
      <w:sz w:val="32"/>
      <w:szCs w:val="32"/>
    </w:rPr>
  </w:style>
  <w:style w:type="paragraph" w:customStyle="1" w:styleId="979">
    <w:name w:val=" Char Char Char Char Char Char Char Char Char Char Char Char Char Char Char Char"/>
    <w:basedOn w:val="1"/>
    <w:qFormat/>
    <w:uiPriority w:val="0"/>
    <w:pPr>
      <w:tabs>
        <w:tab w:val="left" w:pos="360"/>
      </w:tabs>
    </w:pPr>
    <w:rPr>
      <w:sz w:val="24"/>
      <w:szCs w:val="24"/>
    </w:rPr>
  </w:style>
  <w:style w:type="paragraph" w:customStyle="1" w:styleId="980">
    <w:name w:val=" Char Char Char Char Char Char Char Char Char Char1"/>
    <w:basedOn w:val="1"/>
    <w:qFormat/>
    <w:uiPriority w:val="0"/>
    <w:pPr>
      <w:tabs>
        <w:tab w:val="left" w:pos="425"/>
      </w:tabs>
      <w:ind w:left="425" w:hanging="425"/>
    </w:pPr>
    <w:rPr>
      <w:sz w:val="28"/>
    </w:rPr>
  </w:style>
  <w:style w:type="paragraph" w:customStyle="1" w:styleId="981">
    <w:name w:val=" Char Char Char1 Char Char Char"/>
    <w:basedOn w:val="1"/>
    <w:qFormat/>
    <w:uiPriority w:val="0"/>
    <w:pPr>
      <w:ind w:firstLine="200"/>
    </w:pPr>
    <w:rPr>
      <w:rFonts w:ascii="Tahoma" w:hAnsi="Tahoma"/>
      <w:sz w:val="24"/>
    </w:rPr>
  </w:style>
  <w:style w:type="paragraph" w:customStyle="1" w:styleId="982">
    <w:name w:val=" 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983">
    <w:name w:val=" Char Char Char Char Char Char"/>
    <w:basedOn w:val="1"/>
    <w:qFormat/>
    <w:uiPriority w:val="0"/>
    <w:pPr>
      <w:widowControl/>
      <w:numPr>
        <w:ilvl w:val="0"/>
        <w:numId w:val="23"/>
      </w:numPr>
      <w:spacing w:after="160" w:line="240" w:lineRule="exact"/>
      <w:ind w:left="0" w:firstLine="0"/>
      <w:jc w:val="left"/>
    </w:pPr>
    <w:rPr>
      <w:rFonts w:ascii="黑体" w:hAnsi="Verdana" w:eastAsia="黑体"/>
      <w:sz w:val="32"/>
      <w:szCs w:val="32"/>
    </w:rPr>
  </w:style>
  <w:style w:type="paragraph" w:customStyle="1" w:styleId="984">
    <w:name w:val=" Char Char1 Char Char Char Char Char Char Char"/>
    <w:basedOn w:val="1"/>
    <w:qFormat/>
    <w:uiPriority w:val="0"/>
    <w:rPr>
      <w:rFonts w:ascii="Tahoma" w:hAnsi="Tahoma"/>
      <w:sz w:val="24"/>
    </w:rPr>
  </w:style>
  <w:style w:type="paragraph" w:customStyle="1" w:styleId="985">
    <w:name w:val=" Char Char Char Char"/>
    <w:basedOn w:val="1"/>
    <w:qFormat/>
    <w:uiPriority w:val="0"/>
    <w:pPr>
      <w:widowControl/>
      <w:numPr>
        <w:ilvl w:val="0"/>
        <w:numId w:val="1"/>
      </w:numPr>
      <w:spacing w:after="120" w:line="360" w:lineRule="auto"/>
      <w:ind w:left="560" w:firstLine="480"/>
      <w:jc w:val="left"/>
    </w:pPr>
    <w:rPr>
      <w:rFonts w:ascii="Verdana" w:hAnsi="Verdana"/>
      <w:sz w:val="24"/>
      <w:szCs w:val="24"/>
    </w:rPr>
  </w:style>
  <w:style w:type="paragraph" w:customStyle="1" w:styleId="986">
    <w:name w:val=" Char Char Char Char Char Char Char Char Char Char"/>
    <w:basedOn w:val="1"/>
    <w:qFormat/>
    <w:uiPriority w:val="0"/>
    <w:pPr>
      <w:numPr>
        <w:ilvl w:val="0"/>
        <w:numId w:val="2"/>
      </w:numPr>
      <w:tabs>
        <w:tab w:val="left" w:pos="1620"/>
      </w:tabs>
    </w:pPr>
    <w:rPr>
      <w:sz w:val="24"/>
      <w:szCs w:val="24"/>
    </w:rPr>
  </w:style>
  <w:style w:type="paragraph" w:customStyle="1" w:styleId="987">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table" w:customStyle="1" w:styleId="988">
    <w:name w:val="网格型 22"/>
    <w:basedOn w:val="186"/>
    <w:qFormat/>
    <w:uiPriority w:val="0"/>
    <w:pPr>
      <w:widowControl w:val="0"/>
      <w:jc w:val="both"/>
    </w:pPr>
  </w:style>
  <w:style w:type="table" w:customStyle="1" w:styleId="989">
    <w:name w:val="网格型12"/>
    <w:basedOn w:val="186"/>
    <w:qFormat/>
    <w:uiPriority w:val="0"/>
    <w:pPr>
      <w:widowControl w:val="0"/>
      <w:jc w:val="both"/>
    </w:pPr>
    <w:rPr>
      <w:rFonts w:ascii="Cambria" w:hAnsi="Cambria" w:eastAsia="华文细黑" w:cs="Cambria"/>
    </w:rPr>
  </w:style>
  <w:style w:type="table" w:customStyle="1" w:styleId="990">
    <w:name w:val="网格型 211"/>
    <w:basedOn w:val="186"/>
    <w:qFormat/>
    <w:uiPriority w:val="0"/>
    <w:pPr>
      <w:widowControl w:val="0"/>
      <w:jc w:val="both"/>
    </w:pPr>
  </w:style>
  <w:style w:type="character" w:customStyle="1" w:styleId="991">
    <w:name w:val="未处理的提及"/>
    <w:link w:val="1"/>
    <w:unhideWhenUsed/>
    <w:qFormat/>
    <w:uiPriority w:val="99"/>
    <w:rPr>
      <w:color w:val="605E5C"/>
      <w:shd w:val="clear" w:color="auto" w:fill="E1DFDD"/>
    </w:rPr>
  </w:style>
  <w:style w:type="paragraph" w:customStyle="1" w:styleId="992">
    <w:name w:val="正文文本缩进 211"/>
    <w:basedOn w:val="1"/>
    <w:qFormat/>
    <w:uiPriority w:val="0"/>
    <w:pPr>
      <w:tabs>
        <w:tab w:val="left" w:pos="0"/>
        <w:tab w:val="left" w:pos="1134"/>
      </w:tabs>
      <w:spacing w:line="400" w:lineRule="exact"/>
      <w:ind w:firstLine="233"/>
    </w:pPr>
    <w:rPr>
      <w:rFonts w:ascii="楷体_GB2312" w:eastAsia="楷体_GB2312"/>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348cda7d-fc77-4b30-9e61-3024dab810ab</errorID>
      <errorWord>（</errorWord>
      <group>L1_Punc</group>
      <groupName>标点问题</groupName>
      <ability>L2_Punc_CN</ability>
      <abilityName/>
      <candidateList/>
      <explain>同一形式括号套用。</explain>
      <paraID>24E2B3C2</paraID>
      <start>42</start>
      <end>43</end>
      <status>ignored</status>
      <modifiedWord/>
      <trackRevisions>false</trackRevisions>
    </reviewItem>
    <reviewItem>
      <errorID>9dd9b565-fbf6-4bed-a45b-2127d83027c9</errorID>
      <errorWord>）</errorWord>
      <group>L1_Punc</group>
      <groupName>标点问题</groupName>
      <ability>L2_Punc_CN</ability>
      <abilityName/>
      <candidateList/>
      <explain>同一形式括号套用。</explain>
      <paraID>24E2B3C2</paraID>
      <start>49</start>
      <end>50</end>
      <status>ignored</status>
      <modifiedWord/>
      <trackRevisions>false</trackRevisions>
    </reviewItem>
    <reviewItem>
      <errorID>910ae32c-0bad-4580-a9dd-490c5da59a43</errorID>
      <errorWord>（</errorWord>
      <group>L1_Punc</group>
      <groupName>标点问题</groupName>
      <ability>L2_Punc_CN</ability>
      <abilityName/>
      <candidateList/>
      <explain>同一形式括号套用。</explain>
      <paraID>24E2B3C2</paraID>
      <start>59</start>
      <end>60</end>
      <status>ignored</status>
      <modifiedWord/>
      <trackRevisions>false</trackRevisions>
    </reviewItem>
    <reviewItem>
      <errorID>1deef473-4f3d-408a-9417-930291d2e53e</errorID>
      <errorWord>）</errorWord>
      <group>L1_Punc</group>
      <groupName>标点问题</groupName>
      <ability>L2_Punc_CN</ability>
      <abilityName/>
      <candidateList/>
      <explain>同一形式括号套用。</explain>
      <paraID>24E2B3C2</paraID>
      <start>69</start>
      <end>70</end>
      <status>ignored</status>
      <modifiedWord/>
      <trackRevisions>false</trackRevisions>
    </reviewItem>
    <reviewItem>
      <errorID>4033e728-6187-4cf1-8752-62a7420f7850</errorID>
      <errorWord>（</errorWord>
      <group>L1_Punc</group>
      <groupName>标点问题</groupName>
      <ability>L2_Punc_CN</ability>
      <abilityName/>
      <candidateList/>
      <explain>同一形式括号套用。</explain>
      <paraID>16BCDB02</paraID>
      <start>35</start>
      <end>36</end>
      <status>ignored</status>
      <modifiedWord/>
      <trackRevisions>false</trackRevisions>
    </reviewItem>
    <reviewItem>
      <errorID>cd024b8e-41ca-4723-9a7d-88f8454923d2</errorID>
      <errorWord>）</errorWord>
      <group>L1_Punc</group>
      <groupName>标点问题</groupName>
      <ability>L2_Punc_CN</ability>
      <abilityName/>
      <candidateList/>
      <explain>同一形式括号套用。</explain>
      <paraID>16BCDB02</paraID>
      <start>42</start>
      <end>43</end>
      <status>ignored</status>
      <modifiedWord/>
      <trackRevisions>false</trackRevisions>
    </reviewItem>
    <reviewItem>
      <errorID>fb7bd867-9079-4e0d-aa21-a21c687e7e10</errorID>
      <errorWord>（</errorWord>
      <group>L1_Punc</group>
      <groupName>标点问题</groupName>
      <ability>L2_Punc_CN</ability>
      <abilityName/>
      <candidateList/>
      <explain>同一形式括号套用。</explain>
      <paraID>16BCDB02</paraID>
      <start>55</start>
      <end>56</end>
      <status>ignored</status>
      <modifiedWord/>
      <trackRevisions>false</trackRevisions>
    </reviewItem>
    <reviewItem>
      <errorID>e39cdcff-0927-4b19-9067-5907e907b86f</errorID>
      <errorWord>）</errorWord>
      <group>L1_Punc</group>
      <groupName>标点问题</groupName>
      <ability>L2_Punc_CN</ability>
      <abilityName/>
      <candidateList/>
      <explain>同一形式括号套用。</explain>
      <paraID>16BCDB02</paraID>
      <start>73</start>
      <end>74</end>
      <status>ignored</status>
      <modifiedWord/>
      <trackRevisions>false</trackRevisions>
    </reviewItem>
    <reviewItem>
      <errorID>015948de-1ad2-43be-8d17-a9d8b4b99393</errorID>
      <errorWord>（</errorWord>
      <group>L1_Punc</group>
      <groupName>标点问题</groupName>
      <ability>L2_Punc_CN</ability>
      <abilityName/>
      <candidateList/>
      <explain>同一形式括号套用。</explain>
      <paraID>5769DCD8</paraID>
      <start>37</start>
      <end>38</end>
      <status>ignored</status>
      <modifiedWord/>
      <trackRevisions>false</trackRevisions>
    </reviewItem>
    <reviewItem>
      <errorID>ab4e8187-5c45-4e3c-b676-c3eb2782e730</errorID>
      <errorWord>）</errorWord>
      <group>L1_Punc</group>
      <groupName>标点问题</groupName>
      <ability>L2_Punc_CN</ability>
      <abilityName/>
      <candidateList/>
      <explain>同一形式括号套用。</explain>
      <paraID>5769DCD8</paraID>
      <start>44</start>
      <end>45</end>
      <status>ignored</status>
      <modifiedWord/>
      <trackRevisions>false</trackRevisions>
    </reviewItem>
    <reviewItem>
      <errorID>f2bf4a34-3f2c-4c79-afa6-b9a3c1f9705a</errorID>
      <errorWord>（</errorWord>
      <group>L1_Punc</group>
      <groupName>标点问题</groupName>
      <ability>L2_Punc_CN</ability>
      <abilityName/>
      <candidateList/>
      <explain>同一形式括号套用。</explain>
      <paraID>5769DCD8</paraID>
      <start>61</start>
      <end>62</end>
      <status>ignored</status>
      <modifiedWord/>
      <trackRevisions>false</trackRevisions>
    </reviewItem>
    <reviewItem>
      <errorID>36c7dc97-9ed4-4e95-a6bb-db71d7420c0d</errorID>
      <errorWord>）</errorWord>
      <group>L1_Punc</group>
      <groupName>标点问题</groupName>
      <ability>L2_Punc_CN</ability>
      <abilityName/>
      <candidateList/>
      <explain>同一形式括号套用。</explain>
      <paraID>5769DCD8</paraID>
      <start>79</start>
      <end>80</end>
      <status>ignored</status>
      <modifiedWord/>
      <trackRevisions>false</trackRevisions>
    </reviewItem>
    <reviewItem>
      <errorID>8485487d-3cb9-47b5-9c15-45512f8332ef</errorID>
      <errorWord>&lt;</errorWord>
      <group>L1_Format</group>
      <groupName>格式问题</groupName>
      <ability>L2_HalfPunc_CN</ability>
      <abilityName/>
      <candidateList>
        <item>〈</item>
      </candidateList>
      <explain>文本全半角错误。</explain>
      <paraID>2EA87D11</paraID>
      <start>49</start>
      <end>50</end>
      <status>ignored</status>
      <modifiedWord/>
      <trackRevisions>false</trackRevisions>
    </reviewItem>
    <reviewItem>
      <errorID>9cdfb5b3-bac7-4e3b-a9e2-39a8c7ff66d7</errorID>
      <errorWord>&lt;</errorWord>
      <group>L1_Format</group>
      <groupName>格式问题</groupName>
      <ability>L2_HalfPunc_CN</ability>
      <abilityName/>
      <candidateList>
        <item>〈</item>
      </candidateList>
      <explain>文本全半角错误。</explain>
      <paraID>26D45182</paraID>
      <start>49</start>
      <end>50</end>
      <status>ignored</status>
      <modifiedWord/>
      <trackRevisions>false</trackRevisions>
    </reviewItem>
    <reviewItem>
      <errorID>caba9e22-d170-4a06-9a24-8be351e13440</errorID>
      <errorWord>&lt;</errorWord>
      <group>L1_Format</group>
      <groupName>格式问题</groupName>
      <ability>L2_HalfPunc_CN</ability>
      <abilityName/>
      <candidateList>
        <item>〈</item>
      </candidateList>
      <explain>文本全半角错误。</explain>
      <paraID>42725C3C</paraID>
      <start>34</start>
      <end>35</end>
      <status>ignored</status>
      <modifiedWord/>
      <trackRevisions>false</trackRevisions>
    </reviewItem>
    <reviewItem>
      <errorID>9a66de01-6bf2-4d42-8a63-3029c3372fc8</errorID>
      <errorWord>）</errorWord>
      <group>L1_Punc</group>
      <groupName>标点问题</groupName>
      <ability>L2_Punc_CN</ability>
      <abilityName/>
      <candidateList/>
      <explain>此处标点可能未正确匹配，请检查句子中是否存在标点冗余、缺失或使用错误的情况。</explain>
      <paraID>529BD07A</paraID>
      <start>208</start>
      <end>209</end>
      <status>ignored</status>
      <modifiedWord/>
      <trackRevisions>false</trackRevisions>
    </reviewItem>
    <reviewItem>
      <errorID>358ac688-9a8a-44bc-a3ef-7cd049aab487</errorID>
      <errorWord>拣</errorWord>
      <group>L1_Word</group>
      <groupName>字词问题</groupName>
      <ability>L2_Typo</ability>
      <abilityName>字词错误</abilityName>
      <candidateList>
        <item>捡</item>
      </candidateList>
      <explain>存在发音相同字词的误用。</explain>
      <paraID>24D8FCA4</paraID>
      <start>25</start>
      <end>26</end>
      <status>ignored</status>
      <modifiedWord/>
      <trackRevisions>false</trackRevisions>
    </reviewItem>
    <reviewItem>
      <errorID>fab52cbe-7bf6-4fff-ae82-c1d7c6b10c3a</errorID>
      <errorWord>拣</errorWord>
      <group>L1_Word</group>
      <groupName>字词问题</groupName>
      <ability>L2_Typo</ability>
      <abilityName>字词错误</abilityName>
      <candidateList>
        <item>捡</item>
      </candidateList>
      <explain>存在发音相同字词的误用。</explain>
      <paraID>11A65EBB</paraID>
      <start>25</start>
      <end>26</end>
      <status>ignored</status>
      <modifiedWord/>
      <trackRevisions>false</trackRevisions>
    </reviewItem>
    <reviewItem>
      <errorID>37c87546-6bf1-4675-932e-bea2afae6e95</errorID>
      <errorWord>拣</errorWord>
      <group>L1_Word</group>
      <groupName>字词问题</groupName>
      <ability>L2_Typo</ability>
      <abilityName>字词错误</abilityName>
      <candidateList>
        <item>捡</item>
      </candidateList>
      <explain>存在发音相同字词的误用。</explain>
      <paraID>5F226E71</paraID>
      <start>25</start>
      <end>26</end>
      <status>ignored</status>
      <modifiedWord/>
      <trackRevisions>false</trackRevisions>
    </reviewItem>
    <reviewItem>
      <errorID>0ac11ad9-1b15-444f-8894-fde2cf8dd2f6</errorID>
      <errorWord>房</errorWord>
      <group>L1_Word</group>
      <groupName>字词问题</groupName>
      <ability>L2_Typo</ability>
      <abilityName>字词错误</abilityName>
      <candidateList>
        <item>房和</item>
      </candidateList>
      <explain/>
      <paraID>758FCDA9</paraID>
      <start>6</start>
      <end>7</end>
      <status>ignored</status>
      <modifiedWord/>
      <trackRevisions>false</trackRevisions>
    </reviewItem>
    <reviewItem>
      <errorID>c4f2bd03-7b71-4eff-a9ae-af42c336dfd7</errorID>
      <errorWord>撒</errorWord>
      <group>L1_Word</group>
      <groupName>字词问题</groupName>
      <ability>L2_Typo</ability>
      <abilityName>字词错误</abilityName>
      <candidateList>
        <item>洒</item>
      </candidateList>
      <explain>存在发音相同字词的误用。</explain>
      <paraID>7A517FE3</paraID>
      <start>30</start>
      <end>31</end>
      <status>ignored</status>
      <modifiedWord/>
      <trackRevisions>false</trackRevisions>
    </reviewItem>
    <reviewItem>
      <errorID>dbfdc783-828e-431a-8b8e-f69b56a17f4e</errorID>
      <errorWord>措施等</errorWord>
      <group>L1_Word</group>
      <groupName>字词问题</groupName>
      <ability>L2_Typo</ability>
      <abilityName>字词错误</abilityName>
      <candidateList>
        <item>措施</item>
      </candidateList>
      <explain>〈名〉针对某种情况而采取的处理办法（用于较大的事情）：计划已经订出，～应该跟上。</explain>
      <paraID>4079FE49</paraID>
      <start>16</start>
      <end>19</end>
      <status>ignored</status>
      <modifiedWord/>
      <trackRevisions>false</trackRevisions>
    </reviewItem>
    <reviewItem>
      <errorID>8893f6fc-66c2-40f5-932a-0c435193495c</errorID>
      <errorWord>、</errorWord>
      <group>L1_Punc</group>
      <groupName>标点问题</groupName>
      <ability>L2_Punc_CN</ability>
      <abilityName/>
      <candidateList/>
      <explain/>
      <paraID>16E37F58</paraID>
      <start>0</start>
      <end>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26626B-02F3-431F-8258-AF7E5F20060D}">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79</Pages>
  <Words>47153</Words>
  <Characters>48818</Characters>
  <TotalTime>2</TotalTime>
  <ScaleCrop>false</ScaleCrop>
  <LinksUpToDate>false</LinksUpToDate>
  <CharactersWithSpaces>50577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2024-11-12T06:19:00Z</dcterms:created>
  <dc:creator>骆静</dc:creator>
  <cp:lastModifiedBy>17706192570</cp:lastModifiedBy>
  <dcterms:modified xsi:type="dcterms:W3CDTF">2026-05-28T02:26:44Z</dcterms:modified>
  <dc:title>一</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eyJoZGlkIjoiNzdmY2EyNGU5MmJlOGI3YjA1MmE1MGIyZTE3YTVjYzUiLCJ1c2VySWQiOiIyNDY5NTIzOTIifQ==</vt:lpwstr>
  </property>
  <property fmtid="{D5CDD505-2E9C-101B-9397-08002B2CF9AE}" pid="3" name="KSOProductBuildVer">
    <vt:lpwstr>2052-11.1.0.12763</vt:lpwstr>
  </property>
  <property fmtid="{D5CDD505-2E9C-101B-9397-08002B2CF9AE}" pid="4" name="ICV">
    <vt:lpwstr>EFBE681F53674DC69FCFC45CEA6E0CB5</vt:lpwstr>
  </property>
</Properties>
</file>